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11111"/>
          <w:sz w:val="44"/>
        </w:rPr>
        <w:t>Harness Engineering - Speaker Narration</w:t>
      </w:r>
    </w:p>
    <w:p>
      <w:pPr>
        <w:spacing w:after="160"/>
      </w:pPr>
      <w:r>
        <w:rPr>
          <w:rFonts w:ascii="Arial" w:hAnsi="Arial"/>
          <w:color w:val="555555"/>
          <w:sz w:val="22"/>
        </w:rPr>
        <w:t>Engaging talk track for the 3-slide explainer deck</w:t>
      </w:r>
    </w:p>
    <w:tbl>
      <w:tblPr>
        <w:tblW w:type="auto" w:w="0"/>
        <w:jc w:val="center"/>
        <w:tblLook w:firstColumn="1" w:firstRow="1" w:lastColumn="0" w:lastRow="0" w:noHBand="0" w:noVBand="1" w:val="04A0"/>
      </w:tblPr>
      <w:tblGrid>
        <w:gridCol w:w="10368"/>
      </w:tblGrid>
      <w:tr>
        <w:tc>
          <w:tcPr>
            <w:tcW w:type="dxa" w:w="10368"/>
            <w:shd w:fill="EAF4FA"/>
            <w:tcBorders>
              <w:top w:val="single" w:sz="8" w:space="0" w:color="D9D9D9"/>
              <w:left w:val="single" w:sz="8" w:space="0" w:color="D9D9D9"/>
              <w:bottom w:val="single" w:sz="8" w:space="0" w:color="D9D9D9"/>
              <w:right w:val="single" w:sz="8" w:space="0" w:color="D9D9D9"/>
            </w:tcBorders>
            <w:vAlign w:val="center"/>
          </w:tcPr>
          <w:p>
            <w:pPr>
              <w:spacing w:before="100" w:after="100"/>
              <w:jc w:val="center"/>
            </w:pPr>
            <w:r>
              <w:rPr>
                <w:rFonts w:ascii="Arial" w:hAnsi="Arial"/>
                <w:b/>
                <w:color w:val="0B6A94"/>
                <w:sz w:val="24"/>
              </w:rPr>
              <w:t>Tone: calm, practical, reassuring. The message is not “AI replaces judgement”; it is “AI needs a better operating environment.”</w:t>
            </w:r>
          </w:p>
        </w:tc>
      </w:tr>
    </w:tbl>
    <w:p>
      <w:pPr>
        <w:spacing w:after="40"/>
      </w:pPr>
    </w:p>
    <w:p>
      <w:pPr>
        <w:pStyle w:val="Heading1"/>
      </w:pPr>
      <w:r>
        <w:t>Slide 1 - Trust Engineering vs Harness Engineering</w:t>
      </w:r>
    </w:p>
    <w:p>
      <w:r>
        <w:rPr>
          <w:b/>
        </w:rPr>
        <w:t xml:space="preserve">Opening narration: </w:t>
      </w:r>
      <w:r>
        <w:t>“Let me start with a simple distinction. Trust Engineering is the part where we define what must be true before we can rely on AI. What level of risk is acceptable? Who is accountable? Where does human judgement need to stay in the loop? In other words, Trust Engineering says what good looks like.”</w:t>
      </w:r>
    </w:p>
    <w:p>
      <w:r>
        <w:t>“Harness Engineering is the practical next step. It asks: how do we make that good behaviour repeatable? How do we give the agent the right context, the right tools, the right boundaries, and the right checks so that it does not rely on luck, perfect prompting or heroic manual review?”</w:t>
      </w:r>
    </w:p>
    <w:p>
      <w:r>
        <w:rPr>
          <w:b/>
        </w:rPr>
        <w:t xml:space="preserve">Engagement line: </w:t>
      </w:r>
      <w:r>
        <w:t>“The simplest way to remember it is this: Trust Engineering defines the standard. Harness Engineering builds the operating path that helps the AI meet that standard.”</w:t>
      </w:r>
    </w:p>
    <w:p>
      <w:pPr>
        <w:pStyle w:val="Heading1"/>
      </w:pPr>
      <w:r>
        <w:t>Slide 2 - Harness Engineering</w:t>
      </w:r>
    </w:p>
    <w:p>
      <w:r>
        <w:rPr>
          <w:b/>
        </w:rPr>
        <w:t xml:space="preserve">Narration: </w:t>
      </w:r>
      <w:r>
        <w:t>“This is where the idea becomes concrete. A model gives us raw capability. It can read, write, summarise, code and reason. But capability alone is not enough. In production, we do not want just a clever answer. We want a controlled outcome.”</w:t>
      </w:r>
    </w:p>
    <w:p>
      <w:r>
        <w:t>“That is what the harness does. It surrounds the model with trusted context, tool permissions, verification gates, observability, human handoff and feedback loops. It is the difference between saying to an agent, ‘please be careful’, and designing a workflow where careful behaviour is the default.”</w:t>
      </w:r>
    </w:p>
    <w:p>
      <w:r>
        <w:rPr>
          <w:b/>
        </w:rPr>
        <w:t xml:space="preserve">Practical emphasis: </w:t>
      </w:r>
      <w:r>
        <w:t>“A good harness should make the easy path the safe path. It should make risky behaviour visible. And when the agent makes a mistake, we should not only fix the output; we should improve the harness so that the same mistake is harder to repeat.”</w:t>
      </w:r>
    </w:p>
    <w:p>
      <w:pPr>
        <w:pStyle w:val="Heading1"/>
      </w:pPr>
      <w:r>
        <w:t>Slide 3 - Illustrative example: the AI coding agent</w:t>
      </w:r>
    </w:p>
    <w:p>
      <w:r>
        <w:rPr>
          <w:b/>
        </w:rPr>
        <w:t xml:space="preserve">Narration: </w:t>
      </w:r>
      <w:r>
        <w:t>“Let’s make this real with a coding agent. Without a harness, we ask: ‘fix this bug and open a PR.’ The agent may search broadly, pick old context, edit files outside the intended area, skip tests, and still produce something that looks productive. We get activity. We get speed. But do we get trust?”</w:t>
      </w:r>
    </w:p>
    <w:p>
      <w:r>
        <w:t>“Now look at the same model with a harness. The agent is given the issue, the owning component, the coding standards and the approved area of change. It has explicit tool and file boundaries. The build must pass. Tests must pass. Lint must pass. Security checks may run. The PR includes evidence, assumptions and a human approval gate.”</w:t>
      </w:r>
    </w:p>
    <w:p>
      <w:r>
        <w:t>“That is a very different conversation. We are not blindly accepting AI output. We are making the agent’s work inspectable. We are giving developers something they can review with confidence rather than something they have to reverse-engineer from scratch.”</w:t>
      </w:r>
    </w:p>
    <w:p>
      <w:r>
        <w:rPr>
          <w:b/>
        </w:rPr>
        <w:t xml:space="preserve">Closing line: </w:t>
      </w:r>
      <w:r>
        <w:t>“The harness does not replace developer judgement. It protects developer judgement. It focuses it on the decisions that matter.”</w:t>
      </w:r>
    </w:p>
    <w:p>
      <w:pPr>
        <w:pStyle w:val="Heading1"/>
      </w:pPr>
      <w:r>
        <w:t>Quick explanation to give if someone asks: “What is lint?”</w:t>
      </w:r>
    </w:p>
    <w:p>
      <w:r>
        <w:t>“Lint is an automated code quality check. Think of it as a spell-check and safety-check for code. It scans the code before it is merged and flags things like unused imports, formatting problems, suspicious patterns, possible bugs or security issues. In an AI-agent workflow, lint is one of the automated guardrails that helps stop weak code from quietly moving forward.”</w:t>
      </w:r>
    </w:p>
    <w:p>
      <w:pPr>
        <w:pStyle w:val="Heading1"/>
      </w:pPr>
      <w:r>
        <w:t>Optional final wrap-up</w:t>
      </w:r>
    </w:p>
    <w:p>
      <w:r>
        <w:t>“So the big message is this: the future of AI in engineering is not just better models. It is better systems around the models. Trust Engineering defines the requirements. Harness Engineering turns those requirements into repeatable controls.”</w:t>
      </w:r>
    </w:p>
    <w:p/>
    <w:p>
      <w:pPr>
        <w:pStyle w:val="Heading3"/>
      </w:pPr>
      <w:r>
        <w:t>Sources used</w:t>
      </w:r>
    </w:p>
    <w:p>
      <w:pPr>
        <w:pStyle w:val="ListBullet"/>
        <w:spacing w:after="20"/>
      </w:pPr>
      <w:r>
        <w:rPr>
          <w:color w:val="555555"/>
          <w:sz w:val="17"/>
        </w:rPr>
        <w:t>OpenAI, “Harness engineering: leveraging Codex in an agent-first world”, 11 Feb 2026.</w:t>
      </w:r>
    </w:p>
    <w:p>
      <w:pPr>
        <w:pStyle w:val="ListBullet"/>
        <w:spacing w:after="20"/>
      </w:pPr>
      <w:r>
        <w:rPr>
          <w:color w:val="555555"/>
          <w:sz w:val="17"/>
        </w:rPr>
        <w:t>Martin Fowler / Thoughtworks, “Harness engineering for coding agent users”.</w:t>
      </w:r>
    </w:p>
    <w:p>
      <w:pPr>
        <w:pStyle w:val="ListBullet"/>
        <w:spacing w:after="20"/>
      </w:pPr>
      <w:r>
        <w:rPr>
          <w:color w:val="555555"/>
          <w:sz w:val="17"/>
        </w:rPr>
        <w:t>SonarSource, “What is a Linter?” for the plain-language lint explanation.</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6A9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6A9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