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Trust Engineering - Speaker Narration</w:t>
      </w:r>
    </w:p>
    <w:p>
      <w:pPr>
        <w:jc w:val="center"/>
      </w:pPr>
      <w:r>
        <w:rPr>
          <w:rFonts w:ascii="Arial" w:hAnsi="Arial"/>
          <w:i/>
          <w:sz w:val="22"/>
        </w:rPr>
        <w:t>Storytelling script for the updated slide deck</w:t>
      </w:r>
    </w:p>
    <w:p>
      <w:r>
        <w:rPr>
          <w:b/>
        </w:rPr>
        <w:t xml:space="preserve">Presenter note: </w:t>
      </w:r>
      <w:r>
        <w:t>Use this as a natural speaking guide, not a script to read word-for-word. The emphasis throughout is: trust is a requirement, and Trust Engineering is how we make AI dependable in real use.</w:t>
      </w:r>
    </w:p>
    <w:p>
      <w:pPr>
        <w:pStyle w:val="Heading1"/>
      </w:pPr>
      <w:r>
        <w:t>Slide 1 - Trust Engineering</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Opening hook</w:t>
            </w:r>
          </w:p>
        </w:tc>
      </w:tr>
      <w:tr>
        <w:tc>
          <w:tcPr>
            <w:tcW w:type="dxa" w:w="5184"/>
            <w:shd w:fill="E8F1F6"/>
          </w:tcPr>
          <w:p>
            <w:r>
              <w:rPr>
                <w:rFonts w:ascii="Arial" w:hAnsi="Arial"/>
                <w:b/>
                <w:sz w:val="18"/>
              </w:rPr>
              <w:t>Delivery tip</w:t>
            </w:r>
          </w:p>
        </w:tc>
        <w:tc>
          <w:tcPr>
            <w:tcW w:type="dxa" w:w="5184"/>
          </w:tcPr>
          <w:p>
            <w:r>
              <w:rPr>
                <w:rFonts w:ascii="Arial" w:hAnsi="Arial"/>
                <w:sz w:val="18"/>
              </w:rPr>
              <w:t>Start with calm confidence. The purpose of the first slide is to make the room curious, not to explain everything at once.</w:t>
            </w:r>
          </w:p>
        </w:tc>
      </w:tr>
    </w:tbl>
    <w:p/>
    <w:p>
      <w:pPr>
        <w:spacing w:after="120" w:line="259" w:lineRule="auto"/>
      </w:pPr>
      <w:r>
        <w:t>Let me start with a different way of thinking about AI. Most conversations begin with the exciting question: what can AI do? Can it summarise? Can it write code? Can it answer questions? Can it act on our behalf? But once we move beyond demos, a more important question appears: can we depend on it when it matters?</w:t>
      </w:r>
    </w:p>
    <w:p>
      <w:pPr>
        <w:spacing w:after="120" w:line="259" w:lineRule="auto"/>
      </w:pPr>
      <w:r>
        <w:t>That is why I want to frame this session around one sentence: trust is a requirement. It is not a nice-to-have. It is not something we add at the end. If an AI system is going to support real decisions, real customers, real colleagues, or real operations, trust has to be engineered into the way it is designed, used and governed.</w:t>
      </w:r>
    </w:p>
    <w:p>
      <w:pPr>
        <w:spacing w:after="120" w:line="259" w:lineRule="auto"/>
      </w:pPr>
      <w:r>
        <w:t>And the best place to start is not hype. It is incidents. The AI Incident Database exists because real AI systems have already caused harm or near harm. These incidents are not just embarrassing stories. They are case studies in missing controls. They show us where the gap appears between a clever AI capability and a dependable AI system.</w:t>
      </w:r>
    </w:p>
    <w:p/>
    <w:p>
      <w:pPr>
        <w:pStyle w:val="Heading1"/>
      </w:pPr>
      <w:r>
        <w:t>Slide 2 - Trust is a requirement</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Reframe the question</w:t>
            </w:r>
          </w:p>
        </w:tc>
      </w:tr>
      <w:tr>
        <w:tc>
          <w:tcPr>
            <w:tcW w:type="dxa" w:w="5184"/>
            <w:shd w:fill="E8F1F6"/>
          </w:tcPr>
          <w:p>
            <w:r>
              <w:rPr>
                <w:rFonts w:ascii="Arial" w:hAnsi="Arial"/>
                <w:b/>
                <w:sz w:val="18"/>
              </w:rPr>
              <w:t>Delivery tip</w:t>
            </w:r>
          </w:p>
        </w:tc>
        <w:tc>
          <w:tcPr>
            <w:tcW w:type="dxa" w:w="5184"/>
          </w:tcPr>
          <w:p>
            <w:r>
              <w:rPr>
                <w:rFonts w:ascii="Arial" w:hAnsi="Arial"/>
                <w:sz w:val="18"/>
              </w:rPr>
              <w:t>Pause after the second question. Let the room feel the difference between a pilot question and a production question.</w:t>
            </w:r>
          </w:p>
        </w:tc>
      </w:tr>
    </w:tbl>
    <w:p/>
    <w:p>
      <w:pPr>
        <w:spacing w:after="120" w:line="259" w:lineRule="auto"/>
      </w:pPr>
      <w:r>
        <w:t>The biggest mindset shift is this: the question is not only, how can we use AI for this? That question is useful, but it usually creates pilots. It leads us to prototypes, demos and proofs of concept.</w:t>
      </w:r>
    </w:p>
    <w:p>
      <w:pPr>
        <w:spacing w:after="120" w:line="259" w:lineRule="auto"/>
      </w:pPr>
      <w:r>
        <w:t>The stronger question is: are we prepared for AI to be wrong? That question creates production readiness. It forces us to ask what the system is allowed to do, where it might fail, who reviews it, how users know its limits, and what happens when the answer is uncertain.</w:t>
      </w:r>
    </w:p>
    <w:p>
      <w:pPr>
        <w:spacing w:after="120" w:line="259" w:lineRule="auto"/>
      </w:pPr>
      <w:r>
        <w:t>Trust Engineering sits exactly at that point. It connects AI design, risk management and governance. AI design asks how the system should behave. Risk management asks where it can fail and what can reduce the damage. Governance asks who is accountable and what standards apply. When those three are joined together, trust stops being a slogan and becomes an operating discipline.</w:t>
      </w:r>
    </w:p>
    <w:p/>
    <w:p>
      <w:pPr>
        <w:pStyle w:val="Heading1"/>
      </w:pPr>
      <w:r>
        <w:t>Slide 3 - Why AI fails differently</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Three sources of failure</w:t>
            </w:r>
          </w:p>
        </w:tc>
      </w:tr>
      <w:tr>
        <w:tc>
          <w:tcPr>
            <w:tcW w:type="dxa" w:w="5184"/>
            <w:shd w:fill="E8F1F6"/>
          </w:tcPr>
          <w:p>
            <w:r>
              <w:rPr>
                <w:rFonts w:ascii="Arial" w:hAnsi="Arial"/>
                <w:b/>
                <w:sz w:val="18"/>
              </w:rPr>
              <w:t>Delivery tip</w:t>
            </w:r>
          </w:p>
        </w:tc>
        <w:tc>
          <w:tcPr>
            <w:tcW w:type="dxa" w:w="5184"/>
          </w:tcPr>
          <w:p>
            <w:r>
              <w:rPr>
                <w:rFonts w:ascii="Arial" w:hAnsi="Arial"/>
                <w:sz w:val="18"/>
              </w:rPr>
              <w:t>Use the three columns as the story structure: algorithm, human, context.</w:t>
            </w:r>
          </w:p>
        </w:tc>
      </w:tr>
    </w:tbl>
    <w:p/>
    <w:p>
      <w:pPr>
        <w:spacing w:after="120" w:line="259" w:lineRule="auto"/>
      </w:pPr>
      <w:r>
        <w:t>AI failure is different because it often does not look like traditional system failure. A normal application may crash, return an error, or stop. AI may continue. It may sound confident. It may give an answer that looks fluent while quietly making the wrong assumption.</w:t>
      </w:r>
    </w:p>
    <w:p>
      <w:pPr>
        <w:spacing w:after="120" w:line="259" w:lineRule="auto"/>
      </w:pPr>
      <w:r>
        <w:t>There are three broad sources of failure. First, the algorithm. AI is open-ended. It may work well for one case and fail in a slightly different one. Ambiguity, edge cases, bias and data sensitivity all matter. With agentic systems, mistakes can also compound because one wrong step becomes input into the next step.</w:t>
      </w:r>
    </w:p>
    <w:p>
      <w:pPr>
        <w:spacing w:after="120" w:line="259" w:lineRule="auto"/>
      </w:pPr>
      <w:r>
        <w:t>Second, humans. If algorithms are hard, humans are even harder. Users may not know exactly what they want. They may overshare. They may overtrust. They may try to game the system. And in many organisations, the data people give to AI is not yet ready for AI.</w:t>
      </w:r>
    </w:p>
    <w:p>
      <w:pPr>
        <w:spacing w:after="120" w:line="259" w:lineRule="auto"/>
      </w:pPr>
      <w:r>
        <w:t>Third, context. More information is not the same as better information. Context can be poisoned, distracting, contradictory or simply wrong. That is why Trust Engineering treats AI risk as a system design problem, not just a model problem.</w:t>
      </w:r>
    </w:p>
    <w:p/>
    <w:p>
      <w:pPr>
        <w:pStyle w:val="Heading1"/>
      </w:pPr>
      <w:r>
        <w:t>Slide 4 - The context trap</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Link to incident learning</w:t>
            </w:r>
          </w:p>
        </w:tc>
      </w:tr>
      <w:tr>
        <w:tc>
          <w:tcPr>
            <w:tcW w:type="dxa" w:w="5184"/>
            <w:shd w:fill="E8F1F6"/>
          </w:tcPr>
          <w:p>
            <w:r>
              <w:rPr>
                <w:rFonts w:ascii="Arial" w:hAnsi="Arial"/>
                <w:b/>
                <w:sz w:val="18"/>
              </w:rPr>
              <w:t>Delivery tip</w:t>
            </w:r>
          </w:p>
        </w:tc>
        <w:tc>
          <w:tcPr>
            <w:tcW w:type="dxa" w:w="5184"/>
          </w:tcPr>
          <w:p>
            <w:r>
              <w:rPr>
                <w:rFonts w:ascii="Arial" w:hAnsi="Arial"/>
                <w:sz w:val="18"/>
              </w:rPr>
              <w:t>Make this practical: everyone has seen systems fail because they had the wrong context.</w:t>
            </w:r>
          </w:p>
        </w:tc>
      </w:tr>
    </w:tbl>
    <w:p/>
    <w:p>
      <w:pPr>
        <w:spacing w:after="120" w:line="259" w:lineRule="auto"/>
      </w:pPr>
      <w:r>
        <w:t>This slide is about one of the most common misunderstandings in AI: the idea that a bigger context window automatically solves the problem. It helps, but it does not remove the need for trust.</w:t>
      </w:r>
    </w:p>
    <w:p>
      <w:pPr>
        <w:spacing w:after="120" w:line="259" w:lineRule="auto"/>
      </w:pPr>
      <w:r>
        <w:t>If the context contains the wrong information, stale information, hidden instructions, conflicting versions of truth, or too much irrelevant material, the model can still produce a poor answer. It may even produce it more confidently because it has been given more material to justify itself.</w:t>
      </w:r>
    </w:p>
    <w:p>
      <w:pPr>
        <w:spacing w:after="120" w:line="259" w:lineRule="auto"/>
      </w:pPr>
      <w:r>
        <w:t>So the practical control is simple but powerful: curate the information you trust, then give that to AI. In other words, context is not just input. Context is part of the control environment.</w:t>
      </w:r>
    </w:p>
    <w:p>
      <w:pPr>
        <w:spacing w:after="120" w:line="259" w:lineRule="auto"/>
      </w:pPr>
      <w:r>
        <w:t>This is also why the AI Incident Database spatial view is useful. It lets us see incidents clustered by similarity, so we can learn from patterns rather than wait for our own version of the same mistake. The link is on the slide: incidentdatabase.ai/summaries/spatial/.</w:t>
      </w:r>
    </w:p>
    <w:p/>
    <w:p>
      <w:pPr>
        <w:pStyle w:val="Heading1"/>
      </w:pPr>
      <w:r>
        <w:t>Slide 5 - The Trust Engineering operating model</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Make trust operational</w:t>
            </w:r>
          </w:p>
        </w:tc>
      </w:tr>
      <w:tr>
        <w:tc>
          <w:tcPr>
            <w:tcW w:type="dxa" w:w="5184"/>
            <w:shd w:fill="E8F1F6"/>
          </w:tcPr>
          <w:p>
            <w:r>
              <w:rPr>
                <w:rFonts w:ascii="Arial" w:hAnsi="Arial"/>
                <w:b/>
                <w:sz w:val="18"/>
              </w:rPr>
              <w:t>Delivery tip</w:t>
            </w:r>
          </w:p>
        </w:tc>
        <w:tc>
          <w:tcPr>
            <w:tcW w:type="dxa" w:w="5184"/>
          </w:tcPr>
          <w:p>
            <w:r>
              <w:rPr>
                <w:rFonts w:ascii="Arial" w:hAnsi="Arial"/>
                <w:sz w:val="18"/>
              </w:rPr>
              <w:t>This is the centre of the deck. Present it as the practical answer to the problem built up in slides 1-4.</w:t>
            </w:r>
          </w:p>
        </w:tc>
      </w:tr>
    </w:tbl>
    <w:p/>
    <w:p>
      <w:pPr>
        <w:spacing w:after="120" w:line="259" w:lineRule="auto"/>
      </w:pPr>
      <w:r>
        <w:t>So what do we actually mean by Trust Engineering? I would describe it as the operating model that turns AI from impressive to dependable.</w:t>
      </w:r>
    </w:p>
    <w:p>
      <w:pPr>
        <w:spacing w:after="120" w:line="259" w:lineRule="auto"/>
      </w:pPr>
      <w:r>
        <w:t>It has three connected disciplines. AI design asks: what should AI do, what should it not do, and how will users interact with it? Risk management asks: what can fail, what is the cost of error, and what mitigation is needed? Governance asks: who owns the decision, what policies apply, and how do we maintain trust over time?</w:t>
      </w:r>
    </w:p>
    <w:p>
      <w:pPr>
        <w:spacing w:after="120" w:line="259" w:lineRule="auto"/>
      </w:pPr>
      <w:r>
        <w:t>The aim is not to pretend that AI will never fail. That would be unrealistic. The aim is to make failure more predictable, visible, contained and recoverable.</w:t>
      </w:r>
    </w:p>
    <w:p>
      <w:pPr>
        <w:spacing w:after="120" w:line="259" w:lineRule="auto"/>
      </w:pPr>
      <w:r>
        <w:t>That last phrase matters. Predictable means we have thought about likely failure modes. Visible means users and teams can spot when something is not right. Contained means a mistake does not spread unchecked. Recoverable means we can correct it, learn from it and improve the system.</w:t>
      </w:r>
    </w:p>
    <w:p/>
    <w:p>
      <w:pPr>
        <w:pStyle w:val="Heading1"/>
      </w:pPr>
      <w:r>
        <w:t>Slide 6 - Automation is not the finish line</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Human attention as a control</w:t>
            </w:r>
          </w:p>
        </w:tc>
      </w:tr>
      <w:tr>
        <w:tc>
          <w:tcPr>
            <w:tcW w:type="dxa" w:w="5184"/>
            <w:shd w:fill="E8F1F6"/>
          </w:tcPr>
          <w:p>
            <w:r>
              <w:rPr>
                <w:rFonts w:ascii="Arial" w:hAnsi="Arial"/>
                <w:b/>
                <w:sz w:val="18"/>
              </w:rPr>
              <w:t>Delivery tip</w:t>
            </w:r>
          </w:p>
        </w:tc>
        <w:tc>
          <w:tcPr>
            <w:tcW w:type="dxa" w:w="5184"/>
          </w:tcPr>
          <w:p>
            <w:r>
              <w:rPr>
                <w:rFonts w:ascii="Arial" w:hAnsi="Arial"/>
                <w:sz w:val="18"/>
              </w:rPr>
              <w:t>Make this reassuring. Developers and SMEs should feel valued, not replaced.</w:t>
            </w:r>
          </w:p>
        </w:tc>
      </w:tr>
    </w:tbl>
    <w:p/>
    <w:p>
      <w:pPr>
        <w:spacing w:after="120" w:line="259" w:lineRule="auto"/>
      </w:pPr>
      <w:r>
        <w:t>One of the most dangerous assumptions in AI adoption is this: if AI can do most of the task, let it do all of the task. That sounds efficient, but it can be risky.</w:t>
      </w:r>
    </w:p>
    <w:p>
      <w:pPr>
        <w:spacing w:after="120" w:line="259" w:lineRule="auto"/>
      </w:pPr>
      <w:r>
        <w:t>A better Trust Engineering mindset is: if AI is correct ninety percent of the time, find the risky ten percent and design the handoff. That is where the system becomes safer.</w:t>
      </w:r>
    </w:p>
    <w:p>
      <w:pPr>
        <w:spacing w:after="120" w:line="259" w:lineRule="auto"/>
      </w:pPr>
      <w:r>
        <w:t>This is not anti-automation. It is better automation. The goal is not to slow everything down. The goal is to put human attention where it has the highest value: complex decisions, sensitive cases, low-confidence answers, unclear requirements, unusual inputs and high-impact outcomes.</w:t>
      </w:r>
    </w:p>
    <w:p>
      <w:pPr>
        <w:spacing w:after="120" w:line="259" w:lineRule="auto"/>
      </w:pPr>
      <w:r>
        <w:t>So human review is not a weakness in the AI design. It is a control. Prompts, highlights, warnings and pauses can create thoughtful friction. They make the user stop, verify and apply judgement at the right moment.</w:t>
      </w:r>
    </w:p>
    <w:p/>
    <w:p>
      <w:pPr>
        <w:pStyle w:val="Heading1"/>
      </w:pPr>
      <w:r>
        <w:t>Slide 7 - A practical trust checklist</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Seven lenses</w:t>
            </w:r>
          </w:p>
        </w:tc>
      </w:tr>
      <w:tr>
        <w:tc>
          <w:tcPr>
            <w:tcW w:type="dxa" w:w="5184"/>
            <w:shd w:fill="E8F1F6"/>
          </w:tcPr>
          <w:p>
            <w:r>
              <w:rPr>
                <w:rFonts w:ascii="Arial" w:hAnsi="Arial"/>
                <w:b/>
                <w:sz w:val="18"/>
              </w:rPr>
              <w:t>Delivery tip</w:t>
            </w:r>
          </w:p>
        </w:tc>
        <w:tc>
          <w:tcPr>
            <w:tcW w:type="dxa" w:w="5184"/>
          </w:tcPr>
          <w:p>
            <w:r>
              <w:rPr>
                <w:rFonts w:ascii="Arial" w:hAnsi="Arial"/>
                <w:sz w:val="18"/>
              </w:rPr>
              <w:t>Do not read every item mechanically. Group them as a practical checklist.</w:t>
            </w:r>
          </w:p>
        </w:tc>
      </w:tr>
    </w:tbl>
    <w:p/>
    <w:p>
      <w:pPr>
        <w:spacing w:after="120" w:line="259" w:lineRule="auto"/>
      </w:pPr>
      <w:r>
        <w:t>This checklist gives teams a simple way to move from enthusiasm to safe confidence.</w:t>
      </w:r>
    </w:p>
    <w:p>
      <w:pPr>
        <w:spacing w:after="120" w:line="259" w:lineRule="auto"/>
      </w:pPr>
      <w:r>
        <w:t>First, valid and reliable: does the system work for the intended use, not just in a demo? Second, safe: can it avoid unacceptable harm? Third, secure and resilient: can it resist misuse and recover from failure? Fourth, accountable and transparent: do we know who owns the decision?</w:t>
      </w:r>
    </w:p>
    <w:p>
      <w:pPr>
        <w:spacing w:after="120" w:line="259" w:lineRule="auto"/>
      </w:pPr>
      <w:r>
        <w:t>Then we have explainable and interpretable: can people understand enough to trust and challenge the system? Privacy enhanced: is sensitive information protected? And finally, fair with harmful bias managed: have we actively considered unfair outcomes?</w:t>
      </w:r>
    </w:p>
    <w:p>
      <w:pPr>
        <w:spacing w:after="120" w:line="259" w:lineRule="auto"/>
      </w:pPr>
      <w:r>
        <w:t>The important point is that this is not bureaucracy. It is a checklist that protects users, teams and the organisation. It also gives project teams a shared language. Instead of saying, I feel nervous about this AI system, we can say, we have not yet addressed explainability, or accountability, or privacy, or the handoff model.</w:t>
      </w:r>
    </w:p>
    <w:p/>
    <w:p>
      <w:pPr>
        <w:pStyle w:val="Heading1"/>
      </w:pPr>
      <w:r>
        <w:t>Slide 8 - Evaluation beyond accuracy</w:t>
      </w:r>
    </w:p>
    <w:tbl>
      <w:tblPr>
        <w:tblStyle w:val="TableGrid"/>
        <w:tblW w:type="auto" w:w="0"/>
        <w:tblLayout w:type="autofit"/>
        <w:tblLook w:firstColumn="1" w:firstRow="1" w:lastColumn="0" w:lastRow="0" w:noHBand="0" w:noVBand="1" w:val="04A0"/>
      </w:tblPr>
      <w:tblGrid>
        <w:gridCol w:w="5184"/>
        <w:gridCol w:w="5184"/>
      </w:tblGrid>
      <w:tr>
        <w:tc>
          <w:tcPr>
            <w:tcW w:type="dxa" w:w="5184"/>
            <w:shd w:fill="E8F1F6"/>
          </w:tcPr>
          <w:p>
            <w:r>
              <w:rPr>
                <w:rFonts w:ascii="Arial" w:hAnsi="Arial"/>
                <w:b/>
                <w:sz w:val="18"/>
              </w:rPr>
              <w:t>Intent</w:t>
            </w:r>
          </w:p>
        </w:tc>
        <w:tc>
          <w:tcPr>
            <w:tcW w:type="dxa" w:w="5184"/>
          </w:tcPr>
          <w:p>
            <w:r>
              <w:rPr>
                <w:rFonts w:ascii="Arial" w:hAnsi="Arial"/>
                <w:sz w:val="18"/>
              </w:rPr>
              <w:t>Close with the production-readiness test</w:t>
            </w:r>
          </w:p>
        </w:tc>
      </w:tr>
      <w:tr>
        <w:tc>
          <w:tcPr>
            <w:tcW w:type="dxa" w:w="5184"/>
            <w:shd w:fill="E8F1F6"/>
          </w:tcPr>
          <w:p>
            <w:r>
              <w:rPr>
                <w:rFonts w:ascii="Arial" w:hAnsi="Arial"/>
                <w:b/>
                <w:sz w:val="18"/>
              </w:rPr>
              <w:t>Delivery tip</w:t>
            </w:r>
          </w:p>
        </w:tc>
        <w:tc>
          <w:tcPr>
            <w:tcW w:type="dxa" w:w="5184"/>
          </w:tcPr>
          <w:p>
            <w:r>
              <w:rPr>
                <w:rFonts w:ascii="Arial" w:hAnsi="Arial"/>
                <w:sz w:val="18"/>
              </w:rPr>
              <w:t>End with a strong final line. Make the audience remember the three questions.</w:t>
            </w:r>
          </w:p>
        </w:tc>
      </w:tr>
    </w:tbl>
    <w:p/>
    <w:p>
      <w:pPr>
        <w:spacing w:after="120" w:line="259" w:lineRule="auto"/>
      </w:pPr>
      <w:r>
        <w:t>The final message is that evaluation must go beyond accuracy. A benchmark score can be useful, but it is not the same as production readiness. Benchmarks such as MMLU, HellaSwag, HumanEval and TruthfulQA can tell us something about general knowledge, reasoning, coding and truthfulness. But they do not replace real use-case evaluation.</w:t>
      </w:r>
    </w:p>
    <w:p>
      <w:pPr>
        <w:spacing w:after="120" w:line="259" w:lineRule="auto"/>
      </w:pPr>
      <w:r>
        <w:t>For real adoption, we need to evaluate correctness, alignment with human expectations, safety, user impact and cost. We need to know not just whether the answer looks good, but whether it is useful, safe and appropriate in the actual workflow.</w:t>
      </w:r>
    </w:p>
    <w:p>
      <w:pPr>
        <w:spacing w:after="120" w:line="259" w:lineRule="auto"/>
      </w:pPr>
      <w:r>
        <w:t>So I would close with three production-readiness questions. Where can this be wrong? What catches it? Who is accountable?</w:t>
      </w:r>
    </w:p>
    <w:p>
      <w:pPr>
        <w:spacing w:after="120" w:line="259" w:lineRule="auto"/>
      </w:pPr>
      <w:r>
        <w:t>If we can answer those clearly, we are not just experimenting with AI. We are engineering trust. And that is the difference between AI that is impressive and AI that is dependable.</w:t>
      </w:r>
    </w:p>
    <w:p/>
    <w:p>
      <w:pPr>
        <w:pStyle w:val="Heading1"/>
      </w:pPr>
      <w:r>
        <w:t>Useful link for the opening hook</w:t>
      </w:r>
    </w:p>
    <w:p>
      <w:r>
        <w:t xml:space="preserve">AI Incident Database spatial view: </w:t>
      </w:r>
      <w:hyperlink r:id="rId9">
        <w:r>
          <w:rPr>
            <w:color w:val="005D87"/>
            <w:u w:val="single"/>
          </w:rPr>
          <w:t>https://incidentdatabase.ai/summaries/spatial/</w:t>
        </w:r>
      </w:hyperlink>
    </w:p>
    <w:p>
      <w:r>
        <w:t>Use this link as the evidence-based opening: incidents are positioned so similar report texts fall closer together, which helps teams learn from incident patterns rather than isolated anecdotes.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cidentdatabase.ai/summaries/spat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