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17202A"/>
          <w:sz w:val="48"/>
        </w:rPr>
        <w:t>Trust Engineering for AI in Transaction Reporting</w:t>
      </w:r>
    </w:p>
    <w:p>
      <w:pPr>
        <w:spacing w:after="240"/>
      </w:pPr>
      <w:r>
        <w:rPr>
          <w:rFonts w:ascii="Aptos" w:hAnsi="Aptos"/>
          <w:color w:val="566573"/>
          <w:sz w:val="23"/>
        </w:rPr>
        <w:t>Jive page copy</w:t>
      </w:r>
    </w:p>
    <w:p>
      <w:r>
        <w:rPr>
          <w:b/>
        </w:rPr>
        <w:t>Why this matters</w:t>
      </w:r>
    </w:p>
    <w:p>
      <w:r>
        <w:t>AI is moving quickly from experimentation into engineering workflows. In Transaction Reporting, that creates a real opportunity: faster knowledge retrieval, better impact analysis, better test ideas, and more consistent access to historical decisions.</w:t>
      </w:r>
    </w:p>
    <w:p>
      <w:r>
        <w:t>But there is a catch. In a regulated domain, a fluent AI answer is not enough. We need AI-supported work to be explainable, reviewable and safe to use.</w:t>
      </w:r>
    </w:p>
    <w:p>
      <w:pPr>
        <w:pStyle w:val="Heading1"/>
      </w:pPr>
      <w:r>
        <w:t>Start with incidents, not hype</w:t>
      </w:r>
    </w:p>
    <w:p>
      <w:r>
        <w:t>The AI Incident Database is a useful opening reminder: AI failures are real, and learning from them is part of responsible adoption. The point is not to create fear. The point is to avoid pretending that good demos automatically become safe production systems.</w:t>
      </w:r>
    </w:p>
    <w:p>
      <w:pPr>
        <w:pStyle w:val="Heading1"/>
      </w:pPr>
      <w:r>
        <w:t>What is Trust Engineering?</w:t>
      </w:r>
    </w:p>
    <w:p>
      <w:r>
        <w:t>Trust Engineering is the discipline of designing AI systems so they are resilient, understandable and safe when they fail. It connects AI design, risk management, governance, human oversight and operational controls.</w:t>
      </w:r>
    </w:p>
    <w:p>
      <w:r>
        <w:t>The key question is not only “Can AI do this?” A better question is: “What happens if AI is wrong here?”</w:t>
      </w:r>
    </w:p>
    <w:p>
      <w:pPr>
        <w:pStyle w:val="Heading1"/>
      </w:pPr>
      <w:r>
        <w:t>Why it matters in Transaction Reporting</w:t>
      </w:r>
    </w:p>
    <w:p>
      <w:pPr>
        <w:pStyle w:val="ListBullet"/>
        <w:spacing w:after="40"/>
      </w:pPr>
      <w:r>
        <w:t>A small wrong assumption can move from impact analysis into code, validation and regulatory submission.</w:t>
      </w:r>
    </w:p>
    <w:p>
      <w:pPr>
        <w:pStyle w:val="ListBullet"/>
        <w:spacing w:after="40"/>
      </w:pPr>
      <w:r>
        <w:t>AI may mix mandates, use stale context, or provide a confident answer without enough source evidence.</w:t>
      </w:r>
    </w:p>
    <w:p>
      <w:pPr>
        <w:pStyle w:val="ListBullet"/>
        <w:spacing w:after="40"/>
      </w:pPr>
      <w:r>
        <w:t>Regulatory reporting needs traceability: source, rationale, owner, approval, test proof and audit trail.</w:t>
      </w:r>
    </w:p>
    <w:p>
      <w:pPr>
        <w:pStyle w:val="ListBullet"/>
        <w:spacing w:after="40"/>
      </w:pPr>
      <w:r>
        <w:t>The goal is not slower adoption. The goal is adoption that is safe enough to scale.</w:t>
      </w:r>
    </w:p>
    <w:p>
      <w:pPr>
        <w:pStyle w:val="Heading1"/>
      </w:pPr>
      <w:r>
        <w:t>Common AI failure modes</w:t>
      </w:r>
    </w:p>
    <w:p>
      <w:pPr>
        <w:pStyle w:val="ListBullet"/>
        <w:spacing w:after="40"/>
      </w:pPr>
      <w:r>
        <w:t>Algorithm: open-ended behaviour, ambiguity, bias, invisible errors and compounded agentic mistakes.</w:t>
      </w:r>
    </w:p>
    <w:p>
      <w:pPr>
        <w:pStyle w:val="ListBullet"/>
        <w:spacing w:after="40"/>
      </w:pPr>
      <w:r>
        <w:t>Human: unclear prompts, overtrust, oversharing and weak expectations.</w:t>
      </w:r>
    </w:p>
    <w:p>
      <w:pPr>
        <w:pStyle w:val="ListBullet"/>
        <w:spacing w:after="40"/>
      </w:pPr>
      <w:r>
        <w:t>Context: stale documents, conflicting sources, poisoned or distracted context, and multiple versions of truth.</w:t>
      </w:r>
    </w:p>
    <w:p>
      <w:pPr>
        <w:pStyle w:val="Heading1"/>
      </w:pPr>
      <w:r>
        <w:t>A practical trust lens</w:t>
      </w:r>
    </w:p>
    <w:p>
      <w:pPr>
        <w:pStyle w:val="ListBullet"/>
        <w:spacing w:after="40"/>
      </w:pPr>
      <w:r>
        <w:t>Valid and reliable - does the answer work repeatedly for the same fact pattern?</w:t>
      </w:r>
    </w:p>
    <w:p>
      <w:pPr>
        <w:pStyle w:val="ListBullet"/>
        <w:spacing w:after="40"/>
      </w:pPr>
      <w:r>
        <w:t>Safe - could the answer create regulatory harm if used?</w:t>
      </w:r>
    </w:p>
    <w:p>
      <w:pPr>
        <w:pStyle w:val="ListBullet"/>
        <w:spacing w:after="40"/>
      </w:pPr>
      <w:r>
        <w:t>Secure and resilient - can prompts or data leakage manipulate the answer?</w:t>
      </w:r>
    </w:p>
    <w:p>
      <w:pPr>
        <w:pStyle w:val="ListBullet"/>
        <w:spacing w:after="40"/>
      </w:pPr>
      <w:r>
        <w:t>Accountable and transparent - can we see who asked, what was used and who approved?</w:t>
      </w:r>
    </w:p>
    <w:p>
      <w:pPr>
        <w:pStyle w:val="ListBullet"/>
        <w:spacing w:after="40"/>
      </w:pPr>
      <w:r>
        <w:t>Explainable and interpretable - can the team understand why it gave that answer?</w:t>
      </w:r>
    </w:p>
    <w:p>
      <w:pPr>
        <w:pStyle w:val="ListBullet"/>
        <w:spacing w:after="40"/>
      </w:pPr>
      <w:r>
        <w:t>Privacy enhanced - is confidential client and trade data protected?</w:t>
      </w:r>
    </w:p>
    <w:p>
      <w:pPr>
        <w:pStyle w:val="ListBullet"/>
        <w:spacing w:after="40"/>
      </w:pPr>
      <w:r>
        <w:t>Fair, with harmful bias managed - are outputs skewed by incomplete or biased data?</w:t>
      </w:r>
    </w:p>
    <w:p>
      <w:pPr>
        <w:pStyle w:val="Heading1"/>
      </w:pPr>
      <w:r>
        <w:t>Human-AI operating model</w:t>
      </w:r>
    </w:p>
    <w:p>
      <w:pPr>
        <w:pStyle w:val="ListBullet"/>
        <w:spacing w:after="40"/>
      </w:pPr>
      <w:r>
        <w:t>AI can lead on low-risk, reversible work such as summaries, document search and draft explanations.</w:t>
      </w:r>
    </w:p>
    <w:p>
      <w:pPr>
        <w:pStyle w:val="ListBullet"/>
        <w:spacing w:after="40"/>
      </w:pPr>
      <w:r>
        <w:t>AI should assist on impact analysis, eligibility reasoning and mapping suggestions.</w:t>
      </w:r>
    </w:p>
    <w:p>
      <w:pPr>
        <w:pStyle w:val="ListBullet"/>
        <w:spacing w:after="40"/>
      </w:pPr>
      <w:r>
        <w:t>Humans must own regulatory interpretation, production approval and exception sign-off.</w:t>
      </w:r>
    </w:p>
    <w:p>
      <w:pPr>
        <w:pStyle w:val="ListBullet"/>
        <w:spacing w:after="40"/>
      </w:pPr>
      <w:r>
        <w:t>Thoughtful friction is good design: source links, confidence indicators, review prompts and stop points.</w:t>
      </w:r>
    </w:p>
    <w:p>
      <w:pPr>
        <w:pStyle w:val="Heading1"/>
      </w:pPr>
      <w:r>
        <w:t>Evaluation: more than accuracy</w:t>
      </w:r>
    </w:p>
    <w:p>
      <w:pPr>
        <w:pStyle w:val="ListBullet"/>
        <w:spacing w:after="40"/>
      </w:pPr>
      <w:r>
        <w:t>Use generic model checks such as correctness, safety, truthfulness, robustness, cost and latency.</w:t>
      </w:r>
    </w:p>
    <w:p>
      <w:pPr>
        <w:pStyle w:val="ListBullet"/>
        <w:spacing w:after="40"/>
      </w:pPr>
      <w:r>
        <w:t>Add Transaction Reporting checks: golden SME Q&amp;A, mandate-specific scenarios, known near-miss tests, source lineage and reproducible logs.</w:t>
      </w:r>
    </w:p>
    <w:p>
      <w:pPr>
        <w:pStyle w:val="ListBullet"/>
        <w:spacing w:after="40"/>
      </w:pPr>
      <w:r>
        <w:t>Add operational checks: human approval path, monitoring, context freshness and audit evidence pack.</w:t>
      </w:r>
    </w:p>
    <w:p>
      <w:pPr>
        <w:pStyle w:val="Heading1"/>
      </w:pPr>
      <w:r>
        <w:t>The takeaway</w:t>
      </w:r>
    </w:p>
    <w:p>
      <w:r>
        <w:t>Trust Engineering does not slow AI down. It makes AI safe enough to scale in a regulated business. Without trust, AI stays a demo. With trust, it becomes a controlled capability.</w:t>
      </w:r>
    </w:p>
    <w:p>
      <w:pPr>
        <w:pStyle w:val="Heading1"/>
      </w:pPr>
      <w:r>
        <w:t>Source anchors</w:t>
      </w:r>
    </w:p>
    <w:p>
      <w:pPr>
        <w:pStyle w:val="ListBullet"/>
        <w:spacing w:after="40"/>
      </w:pPr>
      <w:r>
        <w:t>AI Incident Database summaries and taxonomies for learning from AI incidents.</w:t>
      </w:r>
    </w:p>
    <w:p>
      <w:pPr>
        <w:pStyle w:val="ListBullet"/>
        <w:spacing w:after="40"/>
      </w:pPr>
      <w:r>
        <w:t>NIST AI Risk Management Framework trustworthy AI characteristics.</w:t>
      </w:r>
    </w:p>
    <w:p>
      <w:pPr>
        <w:pStyle w:val="ListBullet"/>
        <w:spacing w:after="40"/>
      </w:pPr>
      <w:r>
        <w:t>Transaction Reporting examples are illustrative domain examples.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5B9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20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5B9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20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