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7202A"/>
          <w:sz w:val="48"/>
        </w:rPr>
        <w:t>Trust Engineering Narration</w:t>
      </w:r>
    </w:p>
    <w:p>
      <w:pPr>
        <w:spacing w:after="240"/>
      </w:pPr>
      <w:r>
        <w:rPr>
          <w:rFonts w:ascii="Aptos" w:hAnsi="Aptos"/>
          <w:color w:val="566573"/>
          <w:sz w:val="23"/>
        </w:rPr>
        <w:t>Engaging speaker script for the 8-slide presentation</w:t>
      </w:r>
    </w:p>
    <w:p>
      <w:pPr>
        <w:pStyle w:val="Heading1"/>
      </w:pPr>
      <w:r>
        <w:t>Slide 1: Trust Engineering</w:t>
      </w:r>
    </w:p>
    <w:p>
      <w:pPr>
        <w:spacing w:after="200"/>
      </w:pPr>
      <w:r>
        <w:t>I want to start somewhere slightly uncomfortable. Not with an AI success story, but with AI incidents. The AI Incident Database exists because real systems, used by real organisations, have failed in real ways. That is a better place to begin than a shiny demo. In Transaction Reporting, we cannot judge AI only by whether it gives a fluent answer. We need to know whether that answer can be trusted when regulatory accuracy, auditability and controls matter. So the story today is simple: we start with incidents, understand how AI fails, map that to our reporting world, and then engineer the controls that make AI safe enough to use.</w:t>
      </w:r>
    </w:p>
    <w:p>
      <w:r>
        <w:rPr>
          <w:b/>
        </w:rPr>
        <w:t xml:space="preserve">Delivery tip: </w:t>
      </w:r>
      <w:r>
        <w:t>Start with a pause. Ask: “Would we let an AI answer influence regulatory reporting if we cannot explain how it reached the answer?”</w:t>
      </w:r>
    </w:p>
    <w:p/>
    <w:p>
      <w:pPr>
        <w:pStyle w:val="Heading1"/>
      </w:pPr>
      <w:r>
        <w:t>Slide 2: Why this matters in Transaction Reporting</w:t>
      </w:r>
    </w:p>
    <w:p>
      <w:pPr>
        <w:spacing w:after="200"/>
      </w:pPr>
      <w:r>
        <w:t>Let us bring this into our world. In Transaction Reporting, work travels through a chain: trade event, enrichment, eligibility, validation, submission, and eventually the regulator. AI can help at many points in that chain. It can summarise rules, find related tickets, explain code, draft tests and speed up impact analysis. But the same chain means a small wrong assumption can travel a long way. If AI mixes up a jurisdiction, uses stale context, or gives a confident answer without evidence, that is not just a bad chat response. It can become bad logic, bad testing, or bad reporting. That is why trust is a production concern, not a philosophical concern.</w:t>
      </w:r>
    </w:p>
    <w:p>
      <w:r>
        <w:rPr>
          <w:b/>
        </w:rPr>
        <w:t xml:space="preserve">Delivery tip: </w:t>
      </w:r>
      <w:r>
        <w:t>Use a familiar reporting chain: trade event, enrichment, eligibility, validation, submission, regulator.</w:t>
      </w:r>
    </w:p>
    <w:p/>
    <w:p>
      <w:pPr>
        <w:pStyle w:val="Heading1"/>
      </w:pPr>
      <w:r>
        <w:t>Slide 3: How AI fails: algorithm, human and context</w:t>
      </w:r>
    </w:p>
    <w:p>
      <w:pPr>
        <w:spacing w:after="200"/>
      </w:pPr>
      <w:r>
        <w:t>When AI fails, it usually fails through a combination of three things: the algorithm, the human, and the context. The algorithm may handle one case well and another case badly. The human may ask an unclear question or overtrust an answer. The context may be stale, polluted, incomplete or contradictory. This is very relevant in Transaction Reporting because our history is complex. Old mandates, old design decisions, old JIRAs, new regulatory changes, product-specific exceptions — if those are mixed carelessly, the answer may sound right while being wrong. Trust Engineering is about making those failure modes visible before they hurt us.</w:t>
      </w:r>
    </w:p>
    <w:p>
      <w:r>
        <w:rPr>
          <w:b/>
        </w:rPr>
        <w:t xml:space="preserve">Delivery tip: </w:t>
      </w:r>
      <w:r>
        <w:t>Reassure developers that this is not blaming people. It is recognising normal failure modes and engineering around them.</w:t>
      </w:r>
    </w:p>
    <w:p/>
    <w:p>
      <w:pPr>
        <w:pStyle w:val="Heading1"/>
      </w:pPr>
      <w:r>
        <w:t>Slide 4: The better question: are we prepared for AI to be wrong?</w:t>
      </w:r>
    </w:p>
    <w:p>
      <w:pPr>
        <w:spacing w:after="200"/>
      </w:pPr>
      <w:r>
        <w:t>This is the mindset shift. The wrong starting question is: can AI do this? The better question is: what happens if AI is wrong here? Imagine AI says a field is not reportable. It sounds confident. But the reality is that it is reportable for one product or one jurisdiction. If nobody checks it, we may build wrong eligibility logic, write weak tests, or submit wrong data. So trust does not come from confidence alone. Trust comes from source evidence, confidence level, SME review, test proof and audit trail. High-confidence AI is not the same as high-trust AI.</w:t>
      </w:r>
    </w:p>
    <w:p>
      <w:r>
        <w:rPr>
          <w:b/>
        </w:rPr>
        <w:t xml:space="preserve">Delivery tip: </w:t>
      </w:r>
      <w:r>
        <w:t>Make this the turning point of the talk. This is the mindset change.</w:t>
      </w:r>
    </w:p>
    <w:p/>
    <w:p>
      <w:pPr>
        <w:pStyle w:val="Heading1"/>
      </w:pPr>
      <w:r>
        <w:t>Slide 5: Seven lenses for trustworthy AI</w:t>
      </w:r>
    </w:p>
    <w:p>
      <w:pPr>
        <w:spacing w:after="200"/>
      </w:pPr>
      <w:r>
        <w:t>A good trust framework gives us practical lenses. Is it valid and reliable? Is it safe? Is it secure and resilient? Is it accountable and transparent? Is it explainable? Is privacy protected? Is harmful bias managed? In our context, this means asking very concrete questions. Can the answer be repeated for the same fact pattern? Can someone see the source? Can confidential trade data leak? Can a prompt manipulate the answer? Can we explain the decision to Compliance or Audit? Trust is not one big checkbox. It is a set of controls designed for the context of use.</w:t>
      </w:r>
    </w:p>
    <w:p>
      <w:r>
        <w:rPr>
          <w:b/>
        </w:rPr>
        <w:t xml:space="preserve">Delivery tip: </w:t>
      </w:r>
      <w:r>
        <w:t>Connect each lens back to a real Transaction Reporting control.</w:t>
      </w:r>
    </w:p>
    <w:p/>
    <w:p>
      <w:pPr>
        <w:pStyle w:val="Heading1"/>
      </w:pPr>
      <w:r>
        <w:t>Slide 6: The Human-AI operating model</w:t>
      </w:r>
    </w:p>
    <w:p>
      <w:pPr>
        <w:spacing w:after="200"/>
      </w:pPr>
      <w:r>
        <w:t>This is where we need balance. Trust Engineering is not anti-automation. It is anti-blind automation. AI can lead in low-risk, reversible work: summaries, draft code explanations, finding similar tickets. AI can assist in more sensitive areas: impact analysis, eligibility reasoning, mapping suggestions. But humans must own regulatory interpretation, production approval and exception sign-off. Sometimes friction is good. A source link, a confidence indicator, a review prompt or a stop point can prevent a wrong answer from becoming a production mistake.</w:t>
      </w:r>
    </w:p>
    <w:p>
      <w:r>
        <w:rPr>
          <w:b/>
        </w:rPr>
        <w:t xml:space="preserve">Delivery tip: </w:t>
      </w:r>
      <w:r>
        <w:t>This is the reassurance slide: AI is an assistant in a controlled workflow, not an unaccountable decision-maker.</w:t>
      </w:r>
    </w:p>
    <w:p/>
    <w:p>
      <w:pPr>
        <w:pStyle w:val="Heading1"/>
      </w:pPr>
      <w:r>
        <w:t>Slide 7: Evaluation: more than model accuracy</w:t>
      </w:r>
    </w:p>
    <w:p>
      <w:pPr>
        <w:spacing w:after="200"/>
      </w:pPr>
      <w:r>
        <w:t>Evaluation is where many AI pilots are too optimistic. A model benchmark is useful, but it is not enough. For Transaction Reporting, we need domain evidence. We need golden Q&amp;A sets from SMEs. We need mandate-specific scenarios. We need tests based on known incidents and near misses. We need source lineage and reproducible logs. And we need operational checks after go-live: human approval paths, monitoring, context freshness and audit evidence. The real question is simple: would we be comfortable defending this AI-assisted decision to Audit, Compliance and the regulator?</w:t>
      </w:r>
    </w:p>
    <w:p>
      <w:r>
        <w:rPr>
          <w:b/>
        </w:rPr>
        <w:t xml:space="preserve">Delivery tip: </w:t>
      </w:r>
      <w:r>
        <w:t>Move the audience from model evaluation to system evaluation.</w:t>
      </w:r>
    </w:p>
    <w:p/>
    <w:p>
      <w:pPr>
        <w:pStyle w:val="Heading1"/>
      </w:pPr>
      <w:r>
        <w:t>Slide 8: Trust Engineering playbook</w:t>
      </w:r>
    </w:p>
    <w:p>
      <w:pPr>
        <w:spacing w:after="200"/>
      </w:pPr>
      <w:r>
        <w:t>So the playbook is straightforward. Start with incidents, not hype. Define the blast radius: what happens if the answer is wrong? Curate the trusted context. Set boundaries for what AI can do, assist with and must not do. Add human checkpoints where judgement and accountability matter. Then measure, monitor and learn after go-live. The closing point I want everyone to take away is this: Trust Engineering does not slow AI down. It makes AI safe enough to scale in a regulated business. Without trust, AI remains a demo. With trust, it becomes a controlled capability.</w:t>
      </w:r>
    </w:p>
    <w:p>
      <w:r>
        <w:rPr>
          <w:b/>
        </w:rPr>
        <w:t xml:space="preserve">Delivery tip: </w:t>
      </w:r>
      <w:r>
        <w:t>End with confidence: the aim is better adoption, not fear of AI.</w:t>
      </w:r>
    </w:p>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5B9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20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5B9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0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