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17202A"/>
          <w:sz w:val="48"/>
        </w:rPr>
        <w:t>Trust Engineering Slides</w:t>
      </w:r>
    </w:p>
    <w:p>
      <w:pPr>
        <w:spacing w:after="240"/>
      </w:pPr>
      <w:r>
        <w:rPr>
          <w:rFonts w:ascii="Aptos" w:hAnsi="Aptos"/>
          <w:color w:val="566573"/>
          <w:sz w:val="23"/>
        </w:rPr>
        <w:t>PowerPoint content for AI in Investment Banking Transaction Reporting</w:t>
      </w:r>
    </w:p>
    <w:p>
      <w:pPr>
        <w:pStyle w:val="Heading1"/>
      </w:pPr>
      <w:r>
        <w:t>Slide 1: Trust Engineering</w:t>
      </w:r>
    </w:p>
    <w:p>
      <w:r>
        <w:rPr>
          <w:b/>
        </w:rPr>
        <w:t xml:space="preserve">Core message: </w:t>
      </w:r>
      <w:r>
        <w:t>AI failures are not theoretical. The AI Incident Database is the opening hook: learn from real-world failures before we scale AI in a regulated domain.</w:t>
      </w:r>
    </w:p>
    <w:p>
      <w:pPr>
        <w:pStyle w:val="ListBullet"/>
        <w:spacing w:after="40"/>
      </w:pPr>
      <w:r>
        <w:t>Use AI Incident Database summaries as the opening to show that AI risk is real, not academic.</w:t>
      </w:r>
    </w:p>
    <w:p>
      <w:pPr>
        <w:pStyle w:val="ListBullet"/>
        <w:spacing w:after="40"/>
      </w:pPr>
      <w:r>
        <w:t>Move the audience from “AI is exciting” to “AI needs engineering discipline”.</w:t>
      </w:r>
    </w:p>
    <w:p>
      <w:pPr>
        <w:pStyle w:val="ListBullet"/>
        <w:spacing w:after="40"/>
      </w:pPr>
      <w:r>
        <w:t>For Transaction Reporting, trust means: can this AI answer be safely used when regulatory accuracy, auditability and control matter?</w:t>
      </w:r>
    </w:p>
    <w:p>
      <w:pPr>
        <w:pStyle w:val="ListBullet"/>
        <w:spacing w:after="40"/>
      </w:pPr>
      <w:r>
        <w:t>Storyline: start with incidents, understand failure modes, map risk to Transaction Reporting, engineer controls, and then scale safely.</w:t>
      </w:r>
    </w:p>
    <w:p>
      <w:r>
        <w:rPr>
          <w:b/>
        </w:rPr>
        <w:t xml:space="preserve">Speaker emphasis: </w:t>
      </w:r>
      <w:r>
        <w:t>Start with a pause. Ask: “Would we let an AI answer influence regulatory reporting if we cannot explain how it reached the answer?”</w:t>
      </w:r>
    </w:p>
    <w:p/>
    <w:p>
      <w:pPr>
        <w:pStyle w:val="Heading1"/>
      </w:pPr>
      <w:r>
        <w:t>Slide 2: Why this matters in Transaction Reporting</w:t>
      </w:r>
    </w:p>
    <w:p>
      <w:r>
        <w:rPr>
          <w:b/>
        </w:rPr>
        <w:t xml:space="preserve">Core message: </w:t>
      </w:r>
      <w:r>
        <w:t>A small AI mistake can travel through trade enrichment, eligibility, validation and submission if it enters the reporting chain unchecked.</w:t>
      </w:r>
    </w:p>
    <w:p>
      <w:pPr>
        <w:pStyle w:val="ListBullet"/>
        <w:spacing w:after="40"/>
      </w:pPr>
      <w:r>
        <w:t>AI can help with regulatory change summaries, knowledge retrieval, impact analysis, test cases and code explanation.</w:t>
      </w:r>
    </w:p>
    <w:p>
      <w:pPr>
        <w:pStyle w:val="ListBullet"/>
        <w:spacing w:after="40"/>
      </w:pPr>
      <w:r>
        <w:t>Risk enters when AI mixes mandates, uses stale context, makes weak assumptions or provides a confident answer without traceability.</w:t>
      </w:r>
    </w:p>
    <w:p>
      <w:pPr>
        <w:pStyle w:val="ListBullet"/>
        <w:spacing w:after="40"/>
      </w:pPr>
      <w:r>
        <w:t>Transaction Reporting needs evidence: source, rationale, owner, approval, test proof and audit trail.</w:t>
      </w:r>
    </w:p>
    <w:p>
      <w:pPr>
        <w:pStyle w:val="ListBullet"/>
        <w:spacing w:after="40"/>
      </w:pPr>
      <w:r>
        <w:t>The goal is not to slow AI adoption; the goal is to make adoption safe enough to scale.</w:t>
      </w:r>
    </w:p>
    <w:p>
      <w:r>
        <w:rPr>
          <w:b/>
        </w:rPr>
        <w:t xml:space="preserve">Speaker emphasis: </w:t>
      </w:r>
      <w:r>
        <w:t>Use a familiar reporting chain: trade event, enrichment, eligibility, validation, submission, regulator.</w:t>
      </w:r>
    </w:p>
    <w:p/>
    <w:p>
      <w:pPr>
        <w:pStyle w:val="Heading1"/>
      </w:pPr>
      <w:r>
        <w:t>Slide 3: How AI fails: algorithm, human and context</w:t>
      </w:r>
    </w:p>
    <w:p>
      <w:r>
        <w:rPr>
          <w:b/>
        </w:rPr>
        <w:t xml:space="preserve">Core message: </w:t>
      </w:r>
      <w:r>
        <w:t>Most AI failures are combinations of algorithmic ambiguity, human behaviour and poor context.</w:t>
      </w:r>
    </w:p>
    <w:p>
      <w:pPr>
        <w:pStyle w:val="ListBullet"/>
        <w:spacing w:after="40"/>
      </w:pPr>
      <w:r>
        <w:t>Algorithm risk: open-ended behaviour, ambiguity, bias, invisible errors and compounded agentic mistakes.</w:t>
      </w:r>
    </w:p>
    <w:p>
      <w:pPr>
        <w:pStyle w:val="ListBullet"/>
        <w:spacing w:after="40"/>
      </w:pPr>
      <w:r>
        <w:t>Human risk: unclear intent, oversharing, overtrust, gamification and weak expectations.</w:t>
      </w:r>
    </w:p>
    <w:p>
      <w:pPr>
        <w:pStyle w:val="ListBullet"/>
        <w:spacing w:after="40"/>
      </w:pPr>
      <w:r>
        <w:t>Context risk: poisoned, stale, distracted, confused or clashing context.</w:t>
      </w:r>
    </w:p>
    <w:p>
      <w:pPr>
        <w:pStyle w:val="ListBullet"/>
        <w:spacing w:after="40"/>
      </w:pPr>
      <w:r>
        <w:t>Transaction Reporting example: an AI blends old EMIR logic with a current SEC or CSA change and gives a confident but wrong answer.</w:t>
      </w:r>
    </w:p>
    <w:p>
      <w:r>
        <w:rPr>
          <w:b/>
        </w:rPr>
        <w:t xml:space="preserve">Speaker emphasis: </w:t>
      </w:r>
      <w:r>
        <w:t>Reassure developers that this is not blaming people. It is recognising normal failure modes and engineering around them.</w:t>
      </w:r>
    </w:p>
    <w:p/>
    <w:p>
      <w:pPr>
        <w:pStyle w:val="Heading1"/>
      </w:pPr>
      <w:r>
        <w:t>Slide 4: The better question: are we prepared for AI to be wrong?</w:t>
      </w:r>
    </w:p>
    <w:p>
      <w:r>
        <w:rPr>
          <w:b/>
        </w:rPr>
        <w:t xml:space="preserve">Core message: </w:t>
      </w:r>
      <w:r>
        <w:t>The shift is from “Can AI do this?” to “What happens if AI is wrong here?”</w:t>
      </w:r>
    </w:p>
    <w:p>
      <w:pPr>
        <w:pStyle w:val="ListBullet"/>
        <w:spacing w:after="40"/>
      </w:pPr>
      <w:r>
        <w:t>Example: AI says a field is not reportable for a scenario.</w:t>
      </w:r>
    </w:p>
    <w:p>
      <w:pPr>
        <w:pStyle w:val="ListBullet"/>
        <w:spacing w:after="40"/>
      </w:pPr>
      <w:r>
        <w:t>Reality: it is reportable for one jurisdiction or product combination.</w:t>
      </w:r>
    </w:p>
    <w:p>
      <w:pPr>
        <w:pStyle w:val="ListBullet"/>
        <w:spacing w:after="40"/>
      </w:pPr>
      <w:r>
        <w:t>If unchecked: wrong eligibility logic, failed validation or incorrect regulatory submission.</w:t>
      </w:r>
    </w:p>
    <w:p>
      <w:pPr>
        <w:pStyle w:val="ListBullet"/>
        <w:spacing w:after="40"/>
      </w:pPr>
      <w:r>
        <w:t>Trust control: source citation, confidence level, SME review, test evidence and audit trail.</w:t>
      </w:r>
    </w:p>
    <w:p>
      <w:pPr>
        <w:pStyle w:val="ListBullet"/>
        <w:spacing w:after="40"/>
      </w:pPr>
      <w:r>
        <w:t>High-confidence AI is not the same as high-trust AI.</w:t>
      </w:r>
    </w:p>
    <w:p>
      <w:r>
        <w:rPr>
          <w:b/>
        </w:rPr>
        <w:t xml:space="preserve">Speaker emphasis: </w:t>
      </w:r>
      <w:r>
        <w:t>Make this the turning point of the talk. This is the mindset change.</w:t>
      </w:r>
    </w:p>
    <w:p/>
    <w:p>
      <w:pPr>
        <w:pStyle w:val="Heading1"/>
      </w:pPr>
      <w:r>
        <w:t>Slide 5: Seven lenses for trustworthy AI</w:t>
      </w:r>
    </w:p>
    <w:p>
      <w:r>
        <w:rPr>
          <w:b/>
        </w:rPr>
        <w:t xml:space="preserve">Core message: </w:t>
      </w:r>
      <w:r>
        <w:t>A trustworthy AI system must be reliable, safe, secure, accountable, explainable, privacy-aware and bias-managed in context.</w:t>
      </w:r>
    </w:p>
    <w:p>
      <w:pPr>
        <w:pStyle w:val="ListBullet"/>
        <w:spacing w:after="40"/>
      </w:pPr>
      <w:r>
        <w:t>Valid and reliable: does the answer work repeatedly for the same fact pattern?</w:t>
      </w:r>
    </w:p>
    <w:p>
      <w:pPr>
        <w:pStyle w:val="ListBullet"/>
        <w:spacing w:after="40"/>
      </w:pPr>
      <w:r>
        <w:t>Safe: could the answer create regulatory harm if used?</w:t>
      </w:r>
    </w:p>
    <w:p>
      <w:pPr>
        <w:pStyle w:val="ListBullet"/>
        <w:spacing w:after="40"/>
      </w:pPr>
      <w:r>
        <w:t>Secure and resilient: can prompts or data leakage manipulate the answer?</w:t>
      </w:r>
    </w:p>
    <w:p>
      <w:pPr>
        <w:pStyle w:val="ListBullet"/>
        <w:spacing w:after="40"/>
      </w:pPr>
      <w:r>
        <w:t>Accountable and transparent: can we see who asked, what was used and who approved?</w:t>
      </w:r>
    </w:p>
    <w:p>
      <w:pPr>
        <w:pStyle w:val="ListBullet"/>
        <w:spacing w:after="40"/>
      </w:pPr>
      <w:r>
        <w:t>Explainable and interpretable: can the team understand why it gave that answer?</w:t>
      </w:r>
    </w:p>
    <w:p>
      <w:pPr>
        <w:pStyle w:val="ListBullet"/>
        <w:spacing w:after="40"/>
      </w:pPr>
      <w:r>
        <w:t>Privacy enhanced: is confidential client and trade data protected?</w:t>
      </w:r>
    </w:p>
    <w:p>
      <w:pPr>
        <w:pStyle w:val="ListBullet"/>
        <w:spacing w:after="40"/>
      </w:pPr>
      <w:r>
        <w:t>Fair, with harmful bias managed: are outputs skewed by incomplete or biased data?</w:t>
      </w:r>
    </w:p>
    <w:p>
      <w:r>
        <w:rPr>
          <w:b/>
        </w:rPr>
        <w:t xml:space="preserve">Speaker emphasis: </w:t>
      </w:r>
      <w:r>
        <w:t>Connect each lens back to a real Transaction Reporting control.</w:t>
      </w:r>
    </w:p>
    <w:p/>
    <w:p>
      <w:pPr>
        <w:pStyle w:val="Heading1"/>
      </w:pPr>
      <w:r>
        <w:t>Slide 6: The Human-AI operating model</w:t>
      </w:r>
    </w:p>
    <w:p>
      <w:r>
        <w:rPr>
          <w:b/>
        </w:rPr>
        <w:t xml:space="preserve">Core message: </w:t>
      </w:r>
      <w:r>
        <w:t>Do not automate the whole workflow. Automate the right parts and keep humans where judgement, accountability or high cost of error exists.</w:t>
      </w:r>
    </w:p>
    <w:p>
      <w:pPr>
        <w:pStyle w:val="ListBullet"/>
        <w:spacing w:after="40"/>
      </w:pPr>
      <w:r>
        <w:t>AI can lead on low-risk, reversible work: summaries, draft ideas, code explanations and document search.</w:t>
      </w:r>
    </w:p>
    <w:p>
      <w:pPr>
        <w:pStyle w:val="ListBullet"/>
        <w:spacing w:after="40"/>
      </w:pPr>
      <w:r>
        <w:t>AI should assist on impact analysis, eligibility reasoning and mapping suggestions.</w:t>
      </w:r>
    </w:p>
    <w:p>
      <w:pPr>
        <w:pStyle w:val="ListBullet"/>
        <w:spacing w:after="40"/>
      </w:pPr>
      <w:r>
        <w:t>Humans must own regulatory interpretation, production approval and exception sign-off.</w:t>
      </w:r>
    </w:p>
    <w:p>
      <w:pPr>
        <w:pStyle w:val="ListBullet"/>
        <w:spacing w:after="40"/>
      </w:pPr>
      <w:r>
        <w:t>Thoughtful friction is a good design feature: source links, confidence indicators, review prompts and stop points.</w:t>
      </w:r>
    </w:p>
    <w:p>
      <w:r>
        <w:rPr>
          <w:b/>
        </w:rPr>
        <w:t xml:space="preserve">Speaker emphasis: </w:t>
      </w:r>
      <w:r>
        <w:t>This is the reassurance slide: AI is an assistant in a controlled workflow, not an unaccountable decision-maker.</w:t>
      </w:r>
    </w:p>
    <w:p/>
    <w:p>
      <w:pPr>
        <w:pStyle w:val="Heading1"/>
      </w:pPr>
      <w:r>
        <w:t>Slide 7: Evaluation: more than model accuracy</w:t>
      </w:r>
    </w:p>
    <w:p>
      <w:r>
        <w:rPr>
          <w:b/>
        </w:rPr>
        <w:t xml:space="preserve">Core message: </w:t>
      </w:r>
      <w:r>
        <w:t>Benchmarks help compare models, but production trust comes from domain-specific evidence.</w:t>
      </w:r>
    </w:p>
    <w:p>
      <w:pPr>
        <w:pStyle w:val="ListBullet"/>
        <w:spacing w:after="40"/>
      </w:pPr>
      <w:r>
        <w:t>Generic checks: correctness, safety, truthfulness, robustness, cost and latency.</w:t>
      </w:r>
    </w:p>
    <w:p>
      <w:pPr>
        <w:pStyle w:val="ListBullet"/>
        <w:spacing w:after="40"/>
      </w:pPr>
      <w:r>
        <w:t>Transaction Reporting checks: golden SME Q&amp;A sets, mandate-specific scenarios, known incident tests, source lineage and reproducible logs.</w:t>
      </w:r>
    </w:p>
    <w:p>
      <w:pPr>
        <w:pStyle w:val="ListBullet"/>
        <w:spacing w:after="40"/>
      </w:pPr>
      <w:r>
        <w:t>Operational checks: human approval path, monitoring, drift/context freshness and audit evidence pack.</w:t>
      </w:r>
    </w:p>
    <w:p>
      <w:pPr>
        <w:pStyle w:val="ListBullet"/>
        <w:spacing w:after="40"/>
      </w:pPr>
      <w:r>
        <w:t>The real test: would we be comfortable defending this AI-assisted decision to Audit, Compliance and the regulator?</w:t>
      </w:r>
    </w:p>
    <w:p>
      <w:r>
        <w:rPr>
          <w:b/>
        </w:rPr>
        <w:t xml:space="preserve">Speaker emphasis: </w:t>
      </w:r>
      <w:r>
        <w:t>Move the audience from model evaluation to system evaluation.</w:t>
      </w:r>
    </w:p>
    <w:p/>
    <w:p>
      <w:pPr>
        <w:pStyle w:val="Heading1"/>
      </w:pPr>
      <w:r>
        <w:t>Slide 8: Trust Engineering playbook</w:t>
      </w:r>
    </w:p>
    <w:p>
      <w:r>
        <w:rPr>
          <w:b/>
        </w:rPr>
        <w:t xml:space="preserve">Core message: </w:t>
      </w:r>
      <w:r>
        <w:t>Trust Engineering is the practical path from AI enthusiasm to controlled adoption.</w:t>
      </w:r>
    </w:p>
    <w:p>
      <w:pPr>
        <w:pStyle w:val="ListBullet"/>
        <w:spacing w:after="40"/>
      </w:pPr>
      <w:r>
        <w:t>Start with incidents and near misses.</w:t>
      </w:r>
    </w:p>
    <w:p>
      <w:pPr>
        <w:pStyle w:val="ListBullet"/>
        <w:spacing w:after="40"/>
      </w:pPr>
      <w:r>
        <w:t>Define the blast radius: what happens if the answer is wrong?</w:t>
      </w:r>
    </w:p>
    <w:p>
      <w:pPr>
        <w:pStyle w:val="ListBullet"/>
        <w:spacing w:after="40"/>
      </w:pPr>
      <w:r>
        <w:t>Curate trusted context; do not feed the model everything.</w:t>
      </w:r>
    </w:p>
    <w:p>
      <w:pPr>
        <w:pStyle w:val="ListBullet"/>
        <w:spacing w:after="40"/>
      </w:pPr>
      <w:r>
        <w:t>Set boundaries: what AI can do, assist with and must not do.</w:t>
      </w:r>
    </w:p>
    <w:p>
      <w:pPr>
        <w:pStyle w:val="ListBullet"/>
        <w:spacing w:after="40"/>
      </w:pPr>
      <w:r>
        <w:t>Add human checkpoints where judgement and accountability matter.</w:t>
      </w:r>
    </w:p>
    <w:p>
      <w:pPr>
        <w:pStyle w:val="ListBullet"/>
        <w:spacing w:after="40"/>
      </w:pPr>
      <w:r>
        <w:t>Measure, monitor and learn after go-live.</w:t>
      </w:r>
    </w:p>
    <w:p>
      <w:pPr>
        <w:pStyle w:val="ListBullet"/>
        <w:spacing w:after="40"/>
      </w:pPr>
      <w:r>
        <w:t>Trust Engineering does not slow AI down; it makes AI safe enough to scale in a regulated business.</w:t>
      </w:r>
    </w:p>
    <w:p>
      <w:r>
        <w:rPr>
          <w:b/>
        </w:rPr>
        <w:t xml:space="preserve">Speaker emphasis: </w:t>
      </w:r>
      <w:r>
        <w:t>End with confidence: the aim is better adoption, not fear of AI.</w:t>
      </w:r>
    </w:p>
    <w:p/>
    <w:p>
      <w:pPr>
        <w:pStyle w:val="Heading1"/>
      </w:pPr>
      <w:r>
        <w:t>Source anchors used for factual framing</w:t>
      </w:r>
    </w:p>
    <w:p>
      <w:pPr>
        <w:pStyle w:val="ListBullet"/>
        <w:spacing w:after="40"/>
      </w:pPr>
      <w:r>
        <w:t>AI Incident Database: incident summaries help users cut through headlines into consensus views of what occurred; taxonomies structure AI incident risk and harm analysis.</w:t>
      </w:r>
    </w:p>
    <w:p>
      <w:pPr>
        <w:pStyle w:val="ListBullet"/>
        <w:spacing w:after="40"/>
      </w:pPr>
      <w:r>
        <w:t>NIST AI Risk Management Framework: trustworthy AI characteristics include valid/reliable, safe, secure/resilient, accountable/transparent, explainable/interpretable, privacy-enhanced, and fair with harmful bias managed.</w:t>
      </w:r>
    </w:p>
    <w:p>
      <w:pPr>
        <w:pStyle w:val="ListBullet"/>
        <w:spacing w:after="40"/>
      </w:pPr>
      <w:r>
        <w:t>Transaction Reporting examples are domain-specific illustrative examples, not claims about a specific production incident.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5B9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0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5B9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20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