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IN THE SUPERIOR COURT OF CAMDEN COUNTY</w:t>
      </w:r>
    </w:p>
    <w:p>
      <w:pPr>
        <w:spacing w:after="0"/>
        <w:jc w:val="center"/>
      </w:pPr>
      <w:r>
        <w:rPr>
          <w:rFonts w:ascii="Times New Roman" w:cs="Times New Roman" w:eastAsia="Times New Roman" w:hAnsi="Times New Roman"/>
          <w:b/>
          <w:bCs/>
          <w:sz w:val="24"/>
          <w:szCs w:val="24"/>
        </w:rPr>
        <w:t xml:space="preserve">STATE OF GEORGIA</w:t>
      </w:r>
    </w:p>
    <w:p>
      <w:pPr>
        <w:spacing w:after="200"/>
        <w:jc w:val="center"/>
      </w:pPr>
      <w:r>
        <w:rPr>
          <w:rFonts w:ascii="Times New Roman" w:cs="Times New Roman" w:eastAsia="Times New Roman" w:hAnsi="Times New Roman"/>
          <w:b/>
          <w:bCs/>
          <w:sz w:val="24"/>
          <w:szCs w:val="24"/>
        </w:rPr>
        <w:t xml:space="preserve">BRUNSWICK JUDICIAL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CHRISTYN ELIZABETH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Plaintiff,</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Civil Action No. 2025CV936</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v.</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Chief Judge Stephen G. Scarlett</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WILLIAM RODGER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Defendant Pro Se.</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bl>
    <w:p>
      <w:pPr>
        <w:spacing w:after="200" w:before="360"/>
        <w:jc w:val="center"/>
      </w:pPr>
      <w:r>
        <w:rPr>
          <w:rFonts w:ascii="Times New Roman" w:cs="Times New Roman" w:eastAsia="Times New Roman" w:hAnsi="Times New Roman"/>
          <w:b/>
          <w:bCs/>
          <w:sz w:val="24"/>
          <w:szCs w:val="24"/>
          <w:u w:val="single"/>
        </w:rPr>
        <w:t xml:space="preserve">FACTUAL TIMELINE: 48-HOUR MEDICATION DENIAL EVENT</w:t>
      </w:r>
    </w:p>
    <w:p>
      <w:pPr>
        <w:spacing w:after="200" w:before="0" w:line="276"/>
        <w:jc w:val="center"/>
      </w:pPr>
      <w:r>
        <w:rPr>
          <w:rFonts w:ascii="Times New Roman" w:cs="Times New Roman" w:eastAsia="Times New Roman" w:hAnsi="Times New Roman"/>
          <w:b w:val="false"/>
          <w:bCs w:val="false"/>
          <w:i/>
          <w:iCs/>
          <w:sz w:val="24"/>
          <w:szCs w:val="24"/>
        </w:rPr>
        <w:t xml:space="preserve">Exhibit L to Defendant’s Omnibus Motion for Emergency Relief</w:t>
      </w:r>
    </w:p>
    <w:p>
      <w:pPr>
        <w:spacing w:after="100" w:before="200"/>
      </w:pPr>
      <w:r>
        <w:rPr>
          <w:rFonts w:ascii="Times New Roman" w:cs="Times New Roman" w:eastAsia="Times New Roman" w:hAnsi="Times New Roman"/>
          <w:b/>
          <w:bCs/>
          <w:sz w:val="24"/>
          <w:szCs w:val="24"/>
        </w:rPr>
        <w:t xml:space="preserve">Background</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William R. Johnson, has been diagnosed with hypoparathyroidism (ICD-10: E20.9) since 2003. This condition requires daily administration of Calcitriol (active vitamin D) to maintain serum calcium levels within a safe range (8.5–10.5 mg/dL). Without Calcitriol, calcium levels drop, causing neurological symptoms including brain fog, muscle spasms, numbness, seizures, and potentially cardiac arrest.</w:t>
      </w:r>
    </w:p>
    <w:p>
      <w:pPr>
        <w:spacing w:after="100" w:before="200"/>
      </w:pPr>
      <w:r>
        <w:rPr>
          <w:rFonts w:ascii="Times New Roman" w:cs="Times New Roman" w:eastAsia="Times New Roman" w:hAnsi="Times New Roman"/>
          <w:b/>
          <w:bCs/>
          <w:sz w:val="24"/>
          <w:szCs w:val="24"/>
        </w:rPr>
        <w:t xml:space="preserve">Timeline of Events</w:t>
      </w:r>
    </w:p>
    <w:p>
      <w:pPr>
        <w:spacing w:after="200" w:before="0" w:line="276"/>
        <w:jc w:val="both"/>
      </w:pPr>
      <w:r>
        <w:rPr>
          <w:rFonts w:ascii="Times New Roman" w:cs="Times New Roman" w:eastAsia="Times New Roman" w:hAnsi="Times New Roman"/>
          <w:b/>
          <w:bCs/>
          <w:i w:val="false"/>
          <w:iCs w:val="false"/>
          <w:sz w:val="24"/>
          <w:szCs w:val="24"/>
        </w:rPr>
        <w:t xml:space="preserve">April 16, 2026 — Hearing and Vacating</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Court held a hearing at which the contempt charge was declared MOOT. The Defendant vacated the marital residence at 401 Powder Horn Rd, Saint Marys, GA. The Defendant’s prescribed Calcitriol remained inside the residence.</w:t>
      </w:r>
    </w:p>
    <w:p>
      <w:pPr>
        <w:spacing w:after="200" w:before="0" w:line="276"/>
        <w:jc w:val="both"/>
      </w:pPr>
      <w:r>
        <w:rPr>
          <w:rFonts w:ascii="Times New Roman" w:cs="Times New Roman" w:eastAsia="Times New Roman" w:hAnsi="Times New Roman"/>
          <w:b/>
          <w:bCs/>
          <w:i w:val="false"/>
          <w:iCs w:val="false"/>
          <w:sz w:val="24"/>
          <w:szCs w:val="24"/>
        </w:rPr>
        <w:t xml:space="preserve">April 16, 2026 (Evening) — Medication Request Begins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contacted the Plaintiff via text message requesting access to his prescribed medication. The Plaintiff conditioned access on the Defendant meeting her at locations of her choosing within a five-minute window. The Defendant was at a rest area on I-95 (Exit 1) with a broken headlight and could not safely drive after dark.</w:t>
      </w:r>
    </w:p>
    <w:p>
      <w:pPr>
        <w:spacing w:after="200" w:before="0" w:line="276"/>
        <w:jc w:val="both"/>
      </w:pPr>
      <w:r>
        <w:rPr>
          <w:rFonts w:ascii="Times New Roman" w:cs="Times New Roman" w:eastAsia="Times New Roman" w:hAnsi="Times New Roman"/>
          <w:b/>
          <w:bCs/>
          <w:i w:val="false"/>
          <w:iCs w:val="false"/>
          <w:sz w:val="24"/>
          <w:szCs w:val="24"/>
        </w:rPr>
        <w:t xml:space="preserve">April 16–17, 2026 (Overnight) — Medication Withheld</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Plaintiff did not provide the medication. In a text message, the Plaintiff stated: “If you seize and die, that’s on you. You’re 40. I’m not your mom.” The Plaintiff was aware of the Defendant’s hypoparathyroidism diagnosis, having been his spouse since the diagnosis in 2003.</w:t>
      </w:r>
    </w:p>
    <w:p>
      <w:pPr>
        <w:spacing w:after="200" w:before="0" w:line="276"/>
        <w:jc w:val="both"/>
      </w:pPr>
      <w:r>
        <w:rPr>
          <w:rFonts w:ascii="Times New Roman" w:cs="Times New Roman" w:eastAsia="Times New Roman" w:hAnsi="Times New Roman"/>
          <w:b/>
          <w:bCs/>
          <w:i w:val="false"/>
          <w:iCs w:val="false"/>
          <w:sz w:val="24"/>
          <w:szCs w:val="24"/>
        </w:rPr>
        <w:t xml:space="preserve">April 17, 2026 — Medication Still Withheld</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continued to experience symptoms of hypocalcemia. The Plaintiff eventually left the medication on the side of the building rather than providing it directly. Approximately 30 hours elapsed between the Defendant’s first request and access to his medication.</w:t>
      </w:r>
    </w:p>
    <w:p>
      <w:pPr>
        <w:spacing w:after="200" w:before="0" w:line="276"/>
        <w:jc w:val="both"/>
      </w:pPr>
      <w:r>
        <w:rPr>
          <w:rFonts w:ascii="Times New Roman" w:cs="Times New Roman" w:eastAsia="Times New Roman" w:hAnsi="Times New Roman"/>
          <w:b/>
          <w:bCs/>
          <w:i w:val="false"/>
          <w:iCs w:val="false"/>
          <w:sz w:val="24"/>
          <w:szCs w:val="24"/>
        </w:rPr>
        <w:t xml:space="preserve">April 18, 2026 — Emergency Hospitalization</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Defendant presented to UF Health Jacksonville Emergency Department. Laboratory results showed serum calcium of 7.5 mg/dL (critically low; normal range 8.5–10.5 mg/dL). The Defendant received IV calcium gluconate. MRN: 40236686. CEID: UFL-7NKS-1TKN-3M7H.</w:t>
      </w:r>
    </w:p>
    <w:p>
      <w:pPr>
        <w:spacing w:after="100" w:before="200"/>
      </w:pPr>
      <w:r>
        <w:rPr>
          <w:rFonts w:ascii="Times New Roman" w:cs="Times New Roman" w:eastAsia="Times New Roman" w:hAnsi="Times New Roman"/>
          <w:b/>
          <w:bCs/>
          <w:sz w:val="24"/>
          <w:szCs w:val="24"/>
        </w:rPr>
        <w:t xml:space="preserve">Medical Significance</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A serum calcium level of 7.5 mg/dL is a medical emergency. At this level, the patient is at risk for seizures, laryngospasm (airway closure), and cardiac arrhythmia. The Defendant’s hospitalization was a direct and foreseeable consequence of the 30-hour medication withholding.</w:t>
      </w:r>
    </w:p>
    <w:p>
      <w:pPr>
        <w:spacing w:after="100" w:before="200"/>
      </w:pPr>
      <w:r>
        <w:rPr>
          <w:rFonts w:ascii="Times New Roman" w:cs="Times New Roman" w:eastAsia="Times New Roman" w:hAnsi="Times New Roman"/>
          <w:b/>
          <w:bCs/>
          <w:sz w:val="24"/>
          <w:szCs w:val="24"/>
        </w:rPr>
        <w:t xml:space="preserve">Evidentiary Support</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The following exhibits corroborate this timeline:</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Exhibit C: UF Health Jacksonville ER records (April 18, 2026; Ca 7.5 mg/dL)</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Exhibit D: Text messages between the parties (April 16–18, 2026)</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  Exhibit I: Letter from Dr. Maughon confirming AuDHD diagnosis and medication needs (Entry 103, Exhibit A)</w:t>
      </w:r>
    </w:p>
    <w:p>
      <w:pPr>
        <w:spacing w:after="200" w:before="200" w:line="276"/>
        <w:ind w:firstLine="720"/>
        <w:jc w:val="both"/>
      </w:pPr>
      <w:r>
        <w:rPr>
          <w:rFonts w:ascii="Times New Roman" w:cs="Times New Roman" w:eastAsia="Times New Roman" w:hAnsi="Times New Roman"/>
          <w:b w:val="false"/>
          <w:bCs w:val="false"/>
          <w:i w:val="false"/>
          <w:iCs w:val="false"/>
          <w:sz w:val="24"/>
          <w:szCs w:val="24"/>
        </w:rPr>
        <w:t xml:space="preserve">This timeline is submitted as Exhibit L to the Defendant’s Omnibus Motion for Emergency Relief.</w:t>
      </w:r>
    </w:p>
    <w:p>
      <w:pPr>
        <w:spacing w:after="0" w:before="600"/>
      </w:pPr>
      <w:r>
        <w:rPr>
          <w:rFonts w:ascii="Times New Roman" w:cs="Times New Roman" w:eastAsia="Times New Roman" w:hAnsi="Times New Roman"/>
          <w:i/>
          <w:iCs/>
          <w:sz w:val="24"/>
          <w:szCs w:val="24"/>
        </w:rPr>
        <w:t xml:space="preserve">Respectfully submitted,</w:t>
      </w:r>
    </w:p>
    <w:p>
      <w:pPr>
        <w:spacing w:after="0" w:before="600"/>
      </w:pPr>
      <w:r>
        <w:rPr>
          <w:rFonts w:ascii="Times New Roman" w:cs="Times New Roman" w:eastAsia="Times New Roman" w:hAnsi="Times New Roman"/>
          <w:sz w:val="24"/>
          <w:szCs w:val="24"/>
        </w:rPr>
        <w:t xml:space="preserve">___________________________</w:t>
      </w:r>
    </w:p>
    <w:p>
      <w:pPr>
        <w:spacing w:after="0" w:before="0" w:line="276"/>
        <w:jc w:val="both"/>
      </w:pPr>
      <w:r>
        <w:rPr>
          <w:rFonts w:ascii="Times New Roman" w:cs="Times New Roman" w:eastAsia="Times New Roman" w:hAnsi="Times New Roman"/>
          <w:b/>
          <w:bCs/>
          <w:i w:val="false"/>
          <w:iCs w:val="false"/>
          <w:sz w:val="24"/>
          <w:szCs w:val="24"/>
        </w:rPr>
        <w:t xml:space="preserve">William R. Johnson, Defendant Pro Se</w:t>
      </w:r>
    </w:p>
    <w:p>
      <w:pPr>
        <w:spacing w:after="0" w:before="0" w:line="276"/>
        <w:jc w:val="both"/>
      </w:pPr>
      <w:r>
        <w:rPr>
          <w:rFonts w:ascii="Times New Roman" w:cs="Times New Roman" w:eastAsia="Times New Roman" w:hAnsi="Times New Roman"/>
          <w:b w:val="false"/>
          <w:bCs w:val="false"/>
          <w:i w:val="false"/>
          <w:iCs w:val="false"/>
          <w:sz w:val="24"/>
          <w:szCs w:val="24"/>
        </w:rPr>
        <w:t xml:space="preserve">c/o 401 Powder Horn Rd, Saint Marys, GA 31558</w:t>
      </w:r>
    </w:p>
    <w:p>
      <w:pPr>
        <w:spacing w:after="0" w:before="0" w:line="276"/>
        <w:jc w:val="both"/>
      </w:pPr>
      <w:r>
        <w:rPr>
          <w:rFonts w:ascii="Times New Roman" w:cs="Times New Roman" w:eastAsia="Times New Roman" w:hAnsi="Times New Roman"/>
          <w:b w:val="false"/>
          <w:bCs w:val="false"/>
          <w:i w:val="false"/>
          <w:iCs w:val="false"/>
          <w:sz w:val="24"/>
          <w:szCs w:val="24"/>
        </w:rPr>
        <w:t xml:space="preserve">(912) 227-4980</w:t>
      </w:r>
    </w:p>
    <w:p>
      <w:pPr>
        <w:spacing w:after="0" w:before="0" w:line="276"/>
        <w:jc w:val="both"/>
      </w:pPr>
      <w:r>
        <w:rPr>
          <w:rFonts w:ascii="Times New Roman" w:cs="Times New Roman" w:eastAsia="Times New Roman" w:hAnsi="Times New Roman"/>
          <w:b w:val="false"/>
          <w:bCs w:val="false"/>
          <w:i w:val="false"/>
          <w:iCs w:val="false"/>
          <w:sz w:val="24"/>
          <w:szCs w:val="24"/>
        </w:rPr>
        <w:t xml:space="preserve">will@p31ca.org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2026-05-04T12:37:43.961Z</dcterms:created>
  <dcterms:modified xsi:type="dcterms:W3CDTF">2026-05-04T12:37:43.961Z</dcterms:modified>
</cp:coreProperties>
</file>

<file path=docProps/custom.xml><?xml version="1.0" encoding="utf-8"?>
<Properties xmlns="http://schemas.openxmlformats.org/officeDocument/2006/custom-properties" xmlns:vt="http://schemas.openxmlformats.org/officeDocument/2006/docPropsVTypes"/>
</file>