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P31 LABS, INC.</w:t>
      </w:r>
    </w:p>
    <w:p>
      <w:pPr>
        <w:spacing w:after="120"/>
        <w:jc w:val="center"/>
      </w:pPr>
      <w:r>
        <w:rPr>
          <w:color w:val="666666"/>
          <w:sz w:val="20"/>
          <w:szCs w:val="20"/>
        </w:rPr>
        <w:t xml:space="preserve">Georgia Domestic Nonprofit Corporation · EIN: 42-1888158</w:t>
      </w:r>
    </w:p>
    <w:p>
      <w:pPr>
        <w:spacing w:after="360"/>
        <w:jc w:val="center"/>
      </w:pPr>
      <w:r>
        <w:rPr>
          <w:b/>
          <w:bCs/>
          <w:sz w:val="28"/>
          <w:szCs w:val="28"/>
        </w:rPr>
        <w:t xml:space="preserve">BYLAWS</w:t>
      </w:r>
    </w:p>
    <w:p>
      <w:pPr>
        <w:spacing w:after="240"/>
        <w:jc w:val="center"/>
      </w:pPr>
      <w:r>
        <w:rPr>
          <w:i/>
          <w:iCs/>
          <w:sz w:val="22"/>
          <w:szCs w:val="22"/>
        </w:rPr>
        <w:t xml:space="preserve">Amended and Restated as of ____________________, 2026</w:t>
      </w:r>
    </w:p>
    <w:p>
      <w:pPr>
        <w:pStyle w:val="Heading1"/>
      </w:pPr>
      <w:r>
        <w:t xml:space="preserve">Article I — Name and Purpose</w:t>
      </w:r>
    </w:p>
    <w:p>
      <w:pPr>
        <w:spacing w:after="160"/>
      </w:pPr>
      <w:r>
        <w:t xml:space="preserve">Section 1.1. The name of the Corporation is P31 Labs, Inc.</w:t>
      </w:r>
    </w:p>
    <w:p>
      <w:pPr>
        <w:spacing w:after="160"/>
      </w:pPr>
      <w:r>
        <w:t xml:space="preserve">Section 1.2. The Corporation is organized exclusively for charitable and educational purposes within the meaning of Section 501(c)(3) of the Internal Revenue Code, specifically to develop, maintain, and distribute open-source assistive technology for neurodivergent individuals.</w:t>
      </w:r>
    </w:p>
    <w:p>
      <w:pPr>
        <w:pStyle w:val="Heading1"/>
      </w:pPr>
      <w:r>
        <w:t xml:space="preserve">Article II — Board of Directors</w:t>
      </w:r>
    </w:p>
    <w:p>
      <w:pPr>
        <w:spacing w:after="160"/>
      </w:pPr>
      <w:r>
        <w:t xml:space="preserve">Section 2.1. Composition. The Board shall consist of no fewer than three (3) and no more than seven (7) Directors. A majority of Directors shall be independent, meaning they are not employees or family members of employees of the Corporation.</w:t>
      </w:r>
    </w:p>
    <w:p>
      <w:pPr>
        <w:spacing w:after="160"/>
      </w:pPr>
      <w:r>
        <w:t xml:space="preserve">Section 2.2. Terms. Directors shall serve for a term of two (2) years and may be re-elected without limitation. Terms shall be staggered so that approximately one-third of the Board is elected each year.</w:t>
      </w:r>
    </w:p>
    <w:p>
      <w:pPr>
        <w:spacing w:after="160"/>
      </w:pPr>
      <w:r>
        <w:t xml:space="preserve">Section 2.3. Quorum. A majority of the Directors then in office shall constitute a quorum for the transaction of business.</w:t>
      </w:r>
    </w:p>
    <w:p>
      <w:pPr>
        <w:spacing w:after="160"/>
      </w:pPr>
      <w:r>
        <w:t xml:space="preserve">Section 2.4. Action Without Meeting. Any action required or permitted to be taken by the Board may be taken without a meeting if all Directors consent in writing to such action. Such written consent shall have the same force and effect as a unanimous vote of the Board.</w:t>
      </w:r>
    </w:p>
    <w:p>
      <w:pPr>
        <w:spacing w:after="160"/>
      </w:pPr>
      <w:r>
        <w:t xml:space="preserve">Section 2.5. Remote Participation. Directors may participate in meetings by telephone or video conference. Participation by such means shall constitute presence in person at the meeting.</w:t>
      </w:r>
    </w:p>
    <w:p>
      <w:pPr>
        <w:spacing w:after="160"/>
      </w:pPr>
      <w:r>
        <w:t xml:space="preserve">Section 2.6. Removal. A Director may be removed with or without cause by a two-thirds vote of the remaining Directors.</w:t>
      </w:r>
    </w:p>
    <w:p>
      <w:pPr>
        <w:spacing w:after="160"/>
      </w:pPr>
      <w:r>
        <w:t xml:space="preserve">Section 2.7. Vacancies. Vacancies on the Board shall be filled by a majority vote of the remaining Directors. A Director elected to fill a vacancy shall serve for the unexpired term of the predecessor.</w:t>
      </w:r>
    </w:p>
    <w:p>
      <w:pPr>
        <w:pStyle w:val="Heading1"/>
      </w:pPr>
      <w:r>
        <w:t xml:space="preserve">Article III — Officers</w:t>
      </w:r>
    </w:p>
    <w:p>
      <w:pPr>
        <w:spacing w:after="160"/>
      </w:pPr>
      <w:r>
        <w:t xml:space="preserve">Section 3.1. Required Officers. The Corporation shall have a Chief Executive Officer (CEO), a Secretary, and a Chief Financial Officer (CFO/Treasurer). Per O.C.G.A. Section 14-3-840 (as amended 2023 Ga. Laws 260), the CEO and Secretary shall not be the same individual.</w:t>
      </w:r>
    </w:p>
    <w:p>
      <w:pPr>
        <w:spacing w:after="160"/>
      </w:pPr>
      <w:r>
        <w:t xml:space="preserve">Section 3.2. Election. Officers shall be elected by the Board of Directors at the annual meeting. Officers shall serve for a term of one (1) year and may be re-elected.</w:t>
      </w:r>
    </w:p>
    <w:p>
      <w:pPr>
        <w:spacing w:after="160"/>
      </w:pPr>
      <w:r>
        <w:t xml:space="preserve">Section 3.3. CEO. The CEO shall be the principal executive officer of the Corporation, shall preside at all Board meetings, and shall have general supervision over the business and affairs of the Corporation. The CEO is authorized to enter into contracts in the ordinary course of business not exceeding $5,000 without further Board approval.</w:t>
      </w:r>
    </w:p>
    <w:p>
      <w:pPr>
        <w:spacing w:after="160"/>
      </w:pPr>
      <w:r>
        <w:t xml:space="preserve">Section 3.4. Secretary. The Secretary shall keep the minutes of all Board meetings, maintain the corporate records, and give all notices required by law or these Bylaws.</w:t>
      </w:r>
    </w:p>
    <w:p>
      <w:pPr>
        <w:spacing w:after="160"/>
      </w:pPr>
      <w:r>
        <w:t xml:space="preserve">Section 3.5. CFO/Treasurer. The CFO shall have custody of all corporate funds and securities, shall maintain adequate and correct accounts of the Corporation's financial transactions, and shall render financial reports to the Board as requested.</w:t>
      </w:r>
    </w:p>
    <w:p>
      <w:pPr>
        <w:pStyle w:val="Heading1"/>
      </w:pPr>
      <w:r>
        <w:t xml:space="preserve">Article IV — Meetings</w:t>
      </w:r>
    </w:p>
    <w:p>
      <w:pPr>
        <w:spacing w:after="160"/>
      </w:pPr>
      <w:r>
        <w:t xml:space="preserve">Section 4.1. Annual Meeting. The Board shall hold an annual meeting within ninety (90) days following the end of the fiscal year (calendar year).</w:t>
      </w:r>
    </w:p>
    <w:p>
      <w:pPr>
        <w:spacing w:after="160"/>
      </w:pPr>
      <w:r>
        <w:t xml:space="preserve">Section 4.2. Regular Meetings. The Board shall hold regular meetings at least quarterly, at times and places determined by the Board.</w:t>
      </w:r>
    </w:p>
    <w:p>
      <w:pPr>
        <w:spacing w:after="160"/>
      </w:pPr>
      <w:r>
        <w:t xml:space="preserve">Section 4.3. Special Meetings. Special meetings may be called by the CEO or by any two (2) Directors upon written notice of at least five (5) days.</w:t>
      </w:r>
    </w:p>
    <w:p>
      <w:pPr>
        <w:spacing w:after="160"/>
      </w:pPr>
      <w:r>
        <w:t xml:space="preserve">Section 4.4. Notice. Notice of meetings shall be given by email to each Director at the email address on file at least seven (7) days before regular meetings and five (5) days before special meetings.</w:t>
      </w:r>
    </w:p>
    <w:p>
      <w:pPr>
        <w:pStyle w:val="Heading1"/>
      </w:pPr>
      <w:r>
        <w:t xml:space="preserve">Article V — Committees</w:t>
      </w:r>
    </w:p>
    <w:p>
      <w:pPr>
        <w:spacing w:after="160"/>
      </w:pPr>
      <w:r>
        <w:t xml:space="preserve">Section 5.1. The Board may establish committees as it deems necessary. Each committee shall have at least two (2) members. Committee actions are advisory unless the Board delegates specific authority.</w:t>
      </w:r>
    </w:p>
    <w:p>
      <w:pPr>
        <w:pStyle w:val="Heading1"/>
      </w:pPr>
      <w:r>
        <w:t xml:space="preserve">Article VI — Fiscal Year and Financial Controls</w:t>
      </w:r>
    </w:p>
    <w:p>
      <w:pPr>
        <w:spacing w:after="160"/>
      </w:pPr>
      <w:r>
        <w:t xml:space="preserve">Section 6.1. The fiscal year shall be the calendar year (January 1 through December 31).</w:t>
      </w:r>
    </w:p>
    <w:p>
      <w:pPr>
        <w:spacing w:after="160"/>
      </w:pPr>
      <w:r>
        <w:t xml:space="preserve">Section 6.2. The Corporation shall maintain adequate financial records and shall file all required federal and state tax returns and reports.</w:t>
      </w:r>
    </w:p>
    <w:p>
      <w:pPr>
        <w:spacing w:after="160"/>
      </w:pPr>
      <w:r>
        <w:t xml:space="preserve">Section 6.3. No expenditure exceeding $5,000 shall be made without prior Board approval unless within a previously approved budget.</w:t>
      </w:r>
    </w:p>
    <w:p>
      <w:pPr>
        <w:pStyle w:val="Heading1"/>
      </w:pPr>
      <w:r>
        <w:t xml:space="preserve">Article VII — Founder Protection</w:t>
      </w:r>
    </w:p>
    <w:p>
      <w:pPr>
        <w:spacing w:after="160"/>
      </w:pPr>
      <w:r>
        <w:t xml:space="preserve">Section 7.1. The Corporation recognizes that the Founder (William Rodger Johnson) is a diagnosed member of the neurodivergent population the Corporation serves. The Founder's use of the Corporation's public, open-source tools is recognized as essential to product development and does not constitute a conflict of interest.</w:t>
      </w:r>
    </w:p>
    <w:p>
      <w:pPr>
        <w:spacing w:after="160"/>
      </w:pPr>
      <w:r>
        <w:t xml:space="preserve">Section 7.2. Any legal document, settlement agreement, or consent order that affects organizational assets and requires the Founder's signature in his personal capacity shall require Board approval by majority vote of independent Directors before execution.</w:t>
      </w:r>
    </w:p>
    <w:p>
      <w:pPr>
        <w:pStyle w:val="Heading1"/>
      </w:pPr>
      <w:r>
        <w:t xml:space="preserve">Article VIII — Indemnification</w:t>
      </w:r>
    </w:p>
    <w:p>
      <w:pPr>
        <w:spacing w:after="160"/>
      </w:pPr>
      <w:r>
        <w:t xml:space="preserve">Section 8.1. The Corporation shall indemnify its Directors and Officers to the fullest extent permitted by O.C.G.A. Title 14, Chapter 3, Article 8.</w:t>
      </w:r>
    </w:p>
    <w:p>
      <w:pPr>
        <w:pStyle w:val="Heading1"/>
      </w:pPr>
      <w:r>
        <w:t xml:space="preserve">Article IX — Dissolution</w:t>
      </w:r>
    </w:p>
    <w:p>
      <w:pPr>
        <w:spacing w:after="160"/>
      </w:pPr>
      <w:r>
        <w:t xml:space="preserve">Section 9.1. Upon dissolution, assets shall be distributed for one or more exempt purposes within the meaning of Section 501(c)(3) of the Internal Revenue Code, or to the federal government, or to a state or local government, for a public purpose.</w:t>
      </w:r>
    </w:p>
    <w:p>
      <w:pPr>
        <w:pStyle w:val="Heading1"/>
      </w:pPr>
      <w:r>
        <w:t xml:space="preserve">Article X — Amendments</w:t>
      </w:r>
    </w:p>
    <w:p>
      <w:pPr>
        <w:spacing w:after="160"/>
      </w:pPr>
      <w:r>
        <w:t xml:space="preserve">Section 10.1. These Bylaws may be amended or repealed by a two-thirds vote of the Board of Directors at any regular or special meeting, provided that written notice of the proposed amendment has been given at least seven (7) days in advance.</w:t>
      </w:r>
    </w:p>
    <w:p>
      <w:pPr>
        <w:pBdr>
          <w:top w:val="single" w:color="8B7CC9" w:sz="6" w:space="8"/>
        </w:pBdr>
        <w:spacing w:before="360"/>
      </w:pPr>
      <w:r>
        <w:rPr>
          <w:i/>
          <w:iCs/>
          <w:sz w:val="22"/>
          <w:szCs w:val="22"/>
        </w:rPr>
        <w:t xml:space="preserve">Adopted by unanimous written consent of the Board of Directors on ____________________, 2026.</w:t>
      </w:r>
    </w:p>
    <w:p>
      <w:pPr>
        <w:spacing w:before="480"/>
      </w:pPr>
      <w:r>
        <w:t xml:space="preserve">_________________________________________</w:t>
      </w:r>
    </w:p>
    <w:p>
      <w:r>
        <w:rPr>
          <w:sz w:val="22"/>
          <w:szCs w:val="22"/>
        </w:rPr>
        <w:t xml:space="preserve">William Rodger Johnson, CEO</w:t>
      </w:r>
    </w:p>
    <w:p>
      <w:pPr>
        <w:spacing w:after="200"/>
      </w:pPr>
      <w:r>
        <w:rPr>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2026-05-06T17:13:47.672Z</dcterms:created>
  <dcterms:modified xsi:type="dcterms:W3CDTF">2026-05-06T17:13:47.672Z</dcterms:modified>
</cp:coreProperties>
</file>

<file path=docProps/custom.xml><?xml version="1.0" encoding="utf-8"?>
<Properties xmlns="http://schemas.openxmlformats.org/officeDocument/2006/custom-properties" xmlns:vt="http://schemas.openxmlformats.org/officeDocument/2006/docPropsVTypes"/>
</file>