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P31 LABS, INC.</w:t>
      </w:r>
    </w:p>
    <w:p>
      <w:pPr>
        <w:spacing w:after="120"/>
        <w:jc w:val="center"/>
      </w:pPr>
      <w:r>
        <w:rPr>
          <w:color w:val="666666"/>
          <w:sz w:val="20"/>
          <w:szCs w:val="20"/>
        </w:rPr>
        <w:t xml:space="preserve">Georgia Domestic Nonprofit Corporation · EIN: 42-1888158</w:t>
      </w:r>
    </w:p>
    <w:p>
      <w:pPr>
        <w:spacing w:after="360"/>
        <w:jc w:val="center"/>
      </w:pPr>
      <w:r>
        <w:rPr>
          <w:b/>
          <w:bCs/>
          <w:sz w:val="28"/>
          <w:szCs w:val="28"/>
        </w:rPr>
        <w:t xml:space="preserve">DOCUMENT RETENTION AND DESTRUCTION POLICY</w:t>
      </w:r>
    </w:p>
    <w:p>
      <w:pPr>
        <w:spacing w:after="200"/>
      </w:pPr>
      <w:r>
        <w:rPr>
          <w:i/>
          <w:iCs/>
        </w:rPr>
        <w:t xml:space="preserve">Adopted by the Board of Directors on: </w:t>
      </w:r>
      <w:r>
        <w:rPr>
          <w:i/>
          <w:iCs/>
        </w:rPr>
        <w:t xml:space="preserve">____________________, 2026</w:t>
      </w:r>
    </w:p>
    <w:p>
      <w:pPr>
        <w:pStyle w:val="Heading1"/>
      </w:pPr>
      <w:r>
        <w:t xml:space="preserve">1. Purpose</w:t>
      </w:r>
    </w:p>
    <w:p>
      <w:pPr>
        <w:spacing w:after="160"/>
      </w:pPr>
      <w:r>
        <w:t xml:space="preserve">This policy establishes guidelines for the retention and destruction of documents and records of P31 Labs, Inc. in compliance with applicable federal and state laws, including the Sarbanes-Oxley Act as applicable to nonprofit organizations.</w:t>
      </w:r>
    </w:p>
    <w:p>
      <w:pPr>
        <w:pStyle w:val="Heading1"/>
      </w:pPr>
      <w:r>
        <w:t xml:space="preserve">2. General Rules</w:t>
      </w:r>
    </w:p>
    <w:p>
      <w:pPr>
        <w:spacing w:after="160"/>
      </w:pPr>
      <w:r>
        <w:t xml:space="preserve">The Corporation shall retain documents for the period specified in the retention schedule below. Documents not listed shall be retained for a minimum of three (3) years. Electronic documents and records are subject to the same retention requirements as paper documents.</w:t>
      </w:r>
    </w:p>
    <w:p>
      <w:pPr>
        <w:pStyle w:val="Heading1"/>
      </w:pPr>
      <w:r>
        <w:t xml:space="preserve">3.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E8E8F0" w:val="clear"/>
            <w:tcMar>
              <w:top w:type="dxa" w:w="80"/>
              <w:left w:type="dxa" w:w="120"/>
              <w:bottom w:type="dxa" w:w="80"/>
              <w:right w:type="dxa" w:w="120"/>
            </w:tcMar>
          </w:tcPr>
          <w:p>
            <w:r>
              <w:rPr>
                <w:b/>
                <w:bCs/>
                <w:sz w:val="20"/>
                <w:szCs w:val="20"/>
              </w:rPr>
              <w:t xml:space="preserve">Document Type</w:t>
            </w:r>
          </w:p>
        </w:tc>
        <w:tc>
          <w:tcPr>
            <w:tcW w:type="dxa" w:w="2340"/>
            <w:tcBorders>
              <w:top w:val="single" w:color="999999" w:sz="1"/>
              <w:left w:val="single" w:color="999999" w:sz="1"/>
              <w:bottom w:val="single" w:color="999999" w:sz="1"/>
              <w:right w:val="single" w:color="999999" w:sz="1"/>
            </w:tcBorders>
            <w:shd w:fill="E8E8F0" w:val="clear"/>
            <w:tcMar>
              <w:top w:type="dxa" w:w="80"/>
              <w:left w:type="dxa" w:w="120"/>
              <w:bottom w:type="dxa" w:w="80"/>
              <w:right w:type="dxa" w:w="120"/>
            </w:tcMar>
          </w:tcPr>
          <w:p>
            <w:r>
              <w:rPr>
                <w:b/>
                <w:bCs/>
                <w:sz w:val="20"/>
                <w:szCs w:val="20"/>
              </w:rPr>
              <w:t xml:space="preserve">Retention Period</w:t>
            </w:r>
          </w:p>
        </w:tc>
        <w:tc>
          <w:tcPr>
            <w:tcW w:type="dxa" w:w="2340"/>
            <w:tcBorders>
              <w:top w:val="single" w:color="999999" w:sz="1"/>
              <w:left w:val="single" w:color="999999" w:sz="1"/>
              <w:bottom w:val="single" w:color="999999" w:sz="1"/>
              <w:right w:val="single" w:color="999999" w:sz="1"/>
            </w:tcBorders>
            <w:shd w:fill="E8E8F0" w:val="clear"/>
            <w:tcMar>
              <w:top w:type="dxa" w:w="80"/>
              <w:left w:type="dxa" w:w="120"/>
              <w:bottom w:type="dxa" w:w="80"/>
              <w:right w:type="dxa" w:w="120"/>
            </w:tcMar>
          </w:tcPr>
          <w:p>
            <w:r>
              <w:rPr>
                <w:b/>
                <w:bCs/>
                <w:sz w:val="20"/>
                <w:szCs w:val="20"/>
              </w:rPr>
              <w:t xml:space="preserve">Authority</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Articles of Incorporation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Permanent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State law</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Bylaws and amendments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Permanent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State law</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Board meeting minutes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Permanent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Best practice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Tax-exempt determination letter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Permanent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IRS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IRS Form 990 (all versions)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7 years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IRS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Financial statements / audits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7 years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IRS / GA DOR</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Bank statements and reconciliations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7 years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IRS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Donation records and receipts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7 years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IRS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Grant agreements and reports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7 years from completion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Grantor / IRS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Employment records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7 years after termination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Federal / State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Contracts and agreements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7 years after expiration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Best practice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Insurance policies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Permanent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Best practice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Correspondence (general)</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3 years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Best practice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Software source code (git history)</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Permanent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Open-source license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Legal filings and court documents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Permanent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0"/>
                <w:szCs w:val="20"/>
              </w:rPr>
              <w:t xml:space="preserve">Legal</w:t>
            </w:r>
          </w:p>
        </w:tc>
      </w:tr>
    </w:tbl>
    <w:p>
      <w:pPr>
        <w:pStyle w:val="Heading1"/>
      </w:pPr>
      <w:r>
        <w:t xml:space="preserve">4. Destruction</w:t>
      </w:r>
    </w:p>
    <w:p>
      <w:pPr>
        <w:spacing w:after="160"/>
      </w:pPr>
      <w:r>
        <w:t xml:space="preserve">Documents that have exceeded their retention period may be destroyed. Destruction of paper documents shall be by shredding. Destruction of electronic documents shall include deletion from all storage media and backups where practicable. No documents shall be destroyed if they are relevant to any pending or reasonably anticipated litigation, audit, or investigation.</w:t>
      </w:r>
    </w:p>
    <w:p>
      <w:pPr>
        <w:pStyle w:val="Heading1"/>
      </w:pPr>
      <w:r>
        <w:t xml:space="preserve">5. Compliance</w:t>
      </w:r>
    </w:p>
    <w:p>
      <w:pPr>
        <w:spacing w:after="160"/>
      </w:pPr>
      <w:r>
        <w:t xml:space="preserve">Failure to comply with this policy may result in disciplinary action. The intentional destruction of documents with the intent to obstruct or impede any official proceeding is a violation of federal law (18 U.S.C. § 1519).</w:t>
      </w:r>
    </w:p>
    <w:p>
      <w:pPr>
        <w:spacing w:before="480"/>
      </w:pPr>
      <w:r>
        <w:t xml:space="preserve">_________________________________________</w:t>
      </w:r>
    </w:p>
    <w:p>
      <w:r>
        <w:rPr>
          <w:sz w:val="22"/>
          <w:szCs w:val="22"/>
        </w:rPr>
        <w:t xml:space="preserve">William Rodger Johnson, CEO</w:t>
      </w:r>
    </w:p>
    <w:p>
      <w:pPr>
        <w:spacing w:after="200"/>
      </w:pPr>
      <w:r>
        <w:rPr>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2026-05-06T17:13:47.666Z</dcterms:created>
  <dcterms:modified xsi:type="dcterms:W3CDTF">2026-05-06T17:13:47.666Z</dcterms:modified>
</cp:coreProperties>
</file>

<file path=docProps/custom.xml><?xml version="1.0" encoding="utf-8"?>
<Properties xmlns="http://schemas.openxmlformats.org/officeDocument/2006/custom-properties" xmlns:vt="http://schemas.openxmlformats.org/officeDocument/2006/docPropsVTypes"/>
</file>