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P31 LABS, INC.</w:t>
      </w:r>
    </w:p>
    <w:p>
      <w:pPr>
        <w:spacing w:after="120"/>
        <w:jc w:val="center"/>
      </w:pPr>
      <w:r>
        <w:rPr>
          <w:color w:val="666666"/>
          <w:sz w:val="20"/>
          <w:szCs w:val="20"/>
        </w:rPr>
        <w:t xml:space="preserve">Georgia Domestic Nonprofit Corporation · EIN: 42-1888158</w:t>
      </w:r>
    </w:p>
    <w:p>
      <w:pPr>
        <w:spacing w:after="360"/>
        <w:jc w:val="center"/>
      </w:pPr>
      <w:r>
        <w:rPr>
          <w:b/>
          <w:bCs/>
          <w:sz w:val="28"/>
          <w:szCs w:val="28"/>
        </w:rPr>
        <w:t xml:space="preserve">GIFT ACCEPTANCE POLICY</w:t>
      </w:r>
    </w:p>
    <w:p>
      <w:pPr>
        <w:spacing w:after="200"/>
      </w:pPr>
      <w:r>
        <w:rPr>
          <w:i/>
          <w:iCs/>
        </w:rPr>
        <w:t xml:space="preserve">Adopted by the Board of Directors on: </w:t>
      </w:r>
      <w:r>
        <w:rPr>
          <w:i/>
          <w:iCs/>
        </w:rPr>
        <w:t xml:space="preserve">____________________, 2026</w:t>
      </w:r>
    </w:p>
    <w:p>
      <w:pPr>
        <w:pStyle w:val="Heading1"/>
      </w:pPr>
      <w:r>
        <w:t xml:space="preserve">1. Purpose</w:t>
      </w:r>
    </w:p>
    <w:p>
      <w:pPr>
        <w:spacing w:after="160"/>
      </w:pPr>
      <w:r>
        <w:t xml:space="preserve">This policy governs the acceptance of gifts by P31 Labs, Inc. and provides guidance to prospective donors and their advisors when making gifts to the Corporation.</w:t>
      </w:r>
    </w:p>
    <w:p>
      <w:pPr>
        <w:pStyle w:val="Heading1"/>
      </w:pPr>
      <w:r>
        <w:t xml:space="preserve">2. Acceptable Gifts</w:t>
      </w:r>
    </w:p>
    <w:p>
      <w:pPr>
        <w:spacing w:after="160"/>
      </w:pPr>
      <w:r>
        <w:t xml:space="preserve">The Corporation accepts the following types of gifts without prior Board approval: cash, checks, and money orders; credit card and electronic fund transfers (Stripe, Ko-fi, direct bank transfer via Mercury); publicly traded securities; and bequests or beneficiary designations under wills or trusts.</w:t>
      </w:r>
    </w:p>
    <w:p>
      <w:pPr>
        <w:pStyle w:val="Heading1"/>
      </w:pPr>
      <w:r>
        <w:t xml:space="preserve">3. Gifts Requiring Board Approval</w:t>
      </w:r>
    </w:p>
    <w:p>
      <w:pPr>
        <w:spacing w:after="160"/>
      </w:pPr>
      <w:r>
        <w:t xml:space="preserve">The following types of gifts require Board approval before acceptance: real property; tangible personal property valued over $5,000; gifts of closely held securities; gifts with donor restrictions or conditions; gifts of intellectual property or software licenses; in-kind services valued over $1,000; and any gift that may create a conflict of interest or obligation inconsistent with the Corporation's mission.</w:t>
      </w:r>
    </w:p>
    <w:p>
      <w:pPr>
        <w:pStyle w:val="Heading1"/>
      </w:pPr>
      <w:r>
        <w:t xml:space="preserve">4. Gifts Not Accepted</w:t>
      </w:r>
    </w:p>
    <w:p>
      <w:pPr>
        <w:spacing w:after="160"/>
      </w:pPr>
      <w:r>
        <w:t xml:space="preserve">The Corporation will not accept gifts that: are inconsistent with its mission of open-source assistive technology for neurodivergent individuals; would result in private inurement or an excess benefit transaction; contain conditions requiring the Corporation to take actions contrary to its bylaws or policies; or involve illegal activity.</w:t>
      </w:r>
    </w:p>
    <w:p>
      <w:pPr>
        <w:pStyle w:val="Heading1"/>
      </w:pPr>
      <w:r>
        <w:t xml:space="preserve">5. Donor Privacy</w:t>
      </w:r>
    </w:p>
    <w:p>
      <w:pPr>
        <w:spacing w:after="160"/>
      </w:pPr>
      <w:r>
        <w:t xml:space="preserve">The Corporation respects the privacy of its donors. Donor information will not be shared with third parties except as required by law (e.g., IRS Form 990 Schedule B for donors contributing $5,000 or more). Anonymous gifts are accepted. Donors may request anonymity in public acknowledgments.</w:t>
      </w:r>
    </w:p>
    <w:p>
      <w:pPr>
        <w:pStyle w:val="Heading1"/>
      </w:pPr>
      <w:r>
        <w:t xml:space="preserve">6. Gift Receipts</w:t>
      </w:r>
    </w:p>
    <w:p>
      <w:pPr>
        <w:spacing w:after="160"/>
      </w:pPr>
      <w:r>
        <w:t xml:space="preserve">The Corporation will provide written acknowledgment for all gifts of $250 or more, as required by IRS regulations. Receipts will include: the Corporation's legal name and EIN, the date and amount of the contribution, a statement that no goods or services were provided in exchange (or a description and good-faith estimate of the value of goods or services provided), and the Corporation's 501(c)(3) status (when determination letter is received).</w:t>
      </w:r>
    </w:p>
    <w:p>
      <w:pPr>
        <w:pStyle w:val="Heading1"/>
      </w:pPr>
      <w:r>
        <w:t xml:space="preserve">7. Cryptocurrency and Digital Assets</w:t>
      </w:r>
    </w:p>
    <w:p>
      <w:pPr>
        <w:spacing w:after="160"/>
      </w:pPr>
      <w:r>
        <w:t xml:space="preserve">The Corporation may accept gifts of cryptocurrency. Such gifts will be immediately converted to U.S. dollars upon receipt unless the Board determines otherwise. The gift will be valued at fair market value on the date of receipt.</w:t>
      </w:r>
    </w:p>
    <w:p>
      <w:pPr>
        <w:spacing w:before="480"/>
      </w:pPr>
      <w:r>
        <w:t xml:space="preserve">_________________________________________</w:t>
      </w:r>
    </w:p>
    <w:p>
      <w:r>
        <w:rPr>
          <w:sz w:val="22"/>
          <w:szCs w:val="22"/>
        </w:rPr>
        <w:t xml:space="preserve">William Rodger Johnson, CEO</w:t>
      </w:r>
    </w:p>
    <w:p>
      <w:pPr>
        <w:spacing w:after="200"/>
      </w:pPr>
      <w:r>
        <w:rPr>
          <w:sz w:val="22"/>
          <w:szCs w:val="22"/>
        </w:rP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2"/>
      <w:szCs w:val="32"/>
    </w:rPr>
  </w:style>
  <w:style w:type="paragraph" w:styleId="Heading2">
    <w:name w:val="Heading 2"/>
    <w:basedOn w:val="Normal"/>
    <w:next w:val="Normal"/>
    <w:qFormat/>
    <w:pPr>
      <w:spacing w:after="12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2026-05-06T17:13:47.669Z</dcterms:created>
  <dcterms:modified xsi:type="dcterms:W3CDTF">2026-05-06T17:13:47.669Z</dcterms:modified>
</cp:coreProperties>
</file>

<file path=docProps/custom.xml><?xml version="1.0" encoding="utf-8"?>
<Properties xmlns="http://schemas.openxmlformats.org/officeDocument/2006/custom-properties" xmlns:vt="http://schemas.openxmlformats.org/officeDocument/2006/docPropsVTypes"/>
</file>