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91" w:rsidRDefault="00802691" w:rsidP="00802691">
      <w:pPr>
        <w:jc w:val="center"/>
        <w:rPr>
          <w:rFonts w:ascii="Times New Roman" w:hAnsi="Times New Roman" w:cs="Times New Roman"/>
          <w:sz w:val="28"/>
          <w:szCs w:val="24"/>
        </w:rPr>
      </w:pPr>
      <w:r w:rsidRPr="00094FA5">
        <w:rPr>
          <w:rFonts w:ascii="Times New Roman" w:hAnsi="Times New Roman" w:cs="Times New Roman"/>
          <w:sz w:val="28"/>
          <w:szCs w:val="24"/>
        </w:rPr>
        <w:t>Garantia de Qualidade da Modelagem de Processos</w:t>
      </w:r>
    </w:p>
    <w:p w:rsidR="00094FA5" w:rsidRPr="00094FA5" w:rsidRDefault="00094FA5" w:rsidP="0080269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02691" w:rsidRPr="00094FA5" w:rsidRDefault="00802691" w:rsidP="00094FA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FA5">
        <w:rPr>
          <w:rFonts w:ascii="Times New Roman" w:hAnsi="Times New Roman" w:cs="Times New Roman"/>
          <w:sz w:val="24"/>
          <w:szCs w:val="24"/>
        </w:rPr>
        <w:t>Garantia da Qualidade deve ser assegurada</w:t>
      </w:r>
      <w:r w:rsidRPr="00094FA5">
        <w:rPr>
          <w:rFonts w:ascii="Times New Roman" w:hAnsi="Times New Roman" w:cs="Times New Roman"/>
          <w:sz w:val="24"/>
          <w:szCs w:val="24"/>
        </w:rPr>
        <w:t>,</w:t>
      </w:r>
      <w:r w:rsidRPr="00094FA5">
        <w:rPr>
          <w:rFonts w:ascii="Times New Roman" w:hAnsi="Times New Roman" w:cs="Times New Roman"/>
          <w:sz w:val="24"/>
          <w:szCs w:val="24"/>
        </w:rPr>
        <w:t xml:space="preserve"> considerando os três aspectos de qualidade: Validade Semântica, Qualidade Sintática e Compreensibilidade.</w:t>
      </w:r>
    </w:p>
    <w:p w:rsidR="00802691" w:rsidRPr="00094FA5" w:rsidRDefault="00802691" w:rsidP="00094FA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FA5">
        <w:rPr>
          <w:rFonts w:ascii="Times New Roman" w:hAnsi="Times New Roman" w:cs="Times New Roman"/>
          <w:sz w:val="24"/>
          <w:szCs w:val="24"/>
        </w:rPr>
        <w:t xml:space="preserve">No aspecto da qualidade semântica, os modelos apresentados durante a construção dos três processos escolhidos pela equipe </w:t>
      </w:r>
      <w:r w:rsidR="00094FA5" w:rsidRPr="00094FA5">
        <w:rPr>
          <w:rFonts w:ascii="Times New Roman" w:hAnsi="Times New Roman" w:cs="Times New Roman"/>
          <w:sz w:val="24"/>
          <w:szCs w:val="24"/>
        </w:rPr>
        <w:t>foram satisfatórios</w:t>
      </w:r>
      <w:r w:rsidRPr="00094FA5">
        <w:rPr>
          <w:rFonts w:ascii="Times New Roman" w:hAnsi="Times New Roman" w:cs="Times New Roman"/>
          <w:sz w:val="24"/>
          <w:szCs w:val="24"/>
        </w:rPr>
        <w:t>. O layout foi bem desenhado, e as tarefas especificadas foram claras.</w:t>
      </w:r>
    </w:p>
    <w:p w:rsidR="00094FA5" w:rsidRDefault="00094FA5" w:rsidP="00094FA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FA5">
        <w:rPr>
          <w:rFonts w:ascii="Times New Roman" w:hAnsi="Times New Roman" w:cs="Times New Roman"/>
          <w:sz w:val="24"/>
          <w:szCs w:val="24"/>
        </w:rPr>
        <w:t>A qualidade sintática</w:t>
      </w:r>
      <w:r>
        <w:rPr>
          <w:rFonts w:ascii="Times New Roman" w:hAnsi="Times New Roman" w:cs="Times New Roman"/>
          <w:sz w:val="24"/>
          <w:szCs w:val="24"/>
        </w:rPr>
        <w:t xml:space="preserve"> baseia-se na utilização dos elementos do BPM de forma correta, respeitando a peculiaridade de cada função existente nos itens utilizados no modelo.</w:t>
      </w:r>
    </w:p>
    <w:p w:rsidR="003B481B" w:rsidRDefault="00094FA5" w:rsidP="00094FA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compreensibilidade dos modelos se encontra em um estado satisfatório, mantendo uma linguagem objetiva</w:t>
      </w:r>
      <w:r w:rsidR="003B481B">
        <w:rPr>
          <w:rFonts w:ascii="Times New Roman" w:hAnsi="Times New Roman" w:cs="Times New Roman"/>
          <w:sz w:val="24"/>
          <w:szCs w:val="24"/>
        </w:rPr>
        <w:t>. Partindo da análise 7DMP, os modelos de cada um dos processos demonstra boa qualidade, porém alguns elementos ainda necessitam refinamento para alcançar com perfeição todas as diretrizes.</w:t>
      </w:r>
    </w:p>
    <w:p w:rsidR="00094FA5" w:rsidRPr="00094FA5" w:rsidRDefault="003B481B" w:rsidP="00094FA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1"/>
        <w:gridCol w:w="8099"/>
      </w:tblGrid>
      <w:tr w:rsidR="00094FA5" w:rsidRPr="00094FA5" w:rsidTr="00097300">
        <w:tc>
          <w:tcPr>
            <w:tcW w:w="8720" w:type="dxa"/>
            <w:gridSpan w:val="2"/>
          </w:tcPr>
          <w:p w:rsidR="00094FA5" w:rsidRPr="00094FA5" w:rsidRDefault="00094FA5" w:rsidP="00094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Sete diretrizes para Modelagem de Processos (7DMP)</w:t>
            </w:r>
          </w:p>
        </w:tc>
      </w:tr>
      <w:tr w:rsidR="0000374A" w:rsidRPr="00094FA5" w:rsidTr="00CB5F1A">
        <w:tc>
          <w:tcPr>
            <w:tcW w:w="621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8099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Usar o mínimo de elementos no modelo</w:t>
            </w:r>
          </w:p>
        </w:tc>
      </w:tr>
      <w:tr w:rsidR="0000374A" w:rsidRPr="00094FA5" w:rsidTr="00C31B0E">
        <w:tc>
          <w:tcPr>
            <w:tcW w:w="621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8099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Minimizar os caminhos de roteamento por elemento</w:t>
            </w:r>
            <w:bookmarkStart w:id="0" w:name="_GoBack"/>
            <w:bookmarkEnd w:id="0"/>
          </w:p>
        </w:tc>
      </w:tr>
      <w:tr w:rsidR="0000374A" w:rsidRPr="00094FA5" w:rsidTr="00807E54">
        <w:tc>
          <w:tcPr>
            <w:tcW w:w="621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8099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 xml:space="preserve">Usar um evento de início e, se possível, um evento de </w:t>
            </w:r>
            <w:proofErr w:type="gramStart"/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fim</w:t>
            </w:r>
            <w:proofErr w:type="gramEnd"/>
          </w:p>
        </w:tc>
      </w:tr>
      <w:tr w:rsidR="0000374A" w:rsidRPr="00094FA5" w:rsidTr="00C829F2">
        <w:tc>
          <w:tcPr>
            <w:tcW w:w="621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G4</w:t>
            </w:r>
          </w:p>
        </w:tc>
        <w:tc>
          <w:tcPr>
            <w:tcW w:w="8099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Modelar o mais estruturado possível</w:t>
            </w:r>
          </w:p>
        </w:tc>
      </w:tr>
      <w:tr w:rsidR="0000374A" w:rsidRPr="00094FA5" w:rsidTr="00966BFD">
        <w:tc>
          <w:tcPr>
            <w:tcW w:w="621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G5</w:t>
            </w:r>
          </w:p>
        </w:tc>
        <w:tc>
          <w:tcPr>
            <w:tcW w:w="8099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Evitar Elementos OR</w:t>
            </w:r>
          </w:p>
        </w:tc>
      </w:tr>
      <w:tr w:rsidR="0000374A" w:rsidRPr="00094FA5" w:rsidTr="00A77293">
        <w:tc>
          <w:tcPr>
            <w:tcW w:w="621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8099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Rotular atividades seguindo o padrão verbo-objeto</w:t>
            </w:r>
          </w:p>
        </w:tc>
      </w:tr>
      <w:tr w:rsidR="0000374A" w:rsidRPr="00094FA5" w:rsidTr="00D66F5A">
        <w:tc>
          <w:tcPr>
            <w:tcW w:w="621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>G7</w:t>
            </w:r>
          </w:p>
        </w:tc>
        <w:tc>
          <w:tcPr>
            <w:tcW w:w="8099" w:type="dxa"/>
          </w:tcPr>
          <w:p w:rsidR="0000374A" w:rsidRPr="00094FA5" w:rsidRDefault="00003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FA5">
              <w:rPr>
                <w:rFonts w:ascii="Times New Roman" w:hAnsi="Times New Roman" w:cs="Times New Roman"/>
                <w:sz w:val="24"/>
                <w:szCs w:val="24"/>
              </w:rPr>
              <w:t xml:space="preserve">Decompor um processo com mais de 30 elementos </w:t>
            </w:r>
          </w:p>
        </w:tc>
      </w:tr>
    </w:tbl>
    <w:p w:rsidR="00802691" w:rsidRPr="00094FA5" w:rsidRDefault="00802691">
      <w:pPr>
        <w:rPr>
          <w:rFonts w:ascii="Times New Roman" w:hAnsi="Times New Roman" w:cs="Times New Roman"/>
          <w:sz w:val="24"/>
          <w:szCs w:val="24"/>
        </w:rPr>
      </w:pPr>
    </w:p>
    <w:p w:rsidR="00802691" w:rsidRPr="00094FA5" w:rsidRDefault="00802691">
      <w:pPr>
        <w:rPr>
          <w:rFonts w:ascii="Times New Roman" w:hAnsi="Times New Roman" w:cs="Times New Roman"/>
          <w:sz w:val="24"/>
          <w:szCs w:val="24"/>
        </w:rPr>
      </w:pPr>
    </w:p>
    <w:sectPr w:rsidR="00802691" w:rsidRPr="00094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91"/>
    <w:rsid w:val="0000374A"/>
    <w:rsid w:val="00094FA5"/>
    <w:rsid w:val="003B481B"/>
    <w:rsid w:val="0080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Alessandro Tormena</dc:creator>
  <cp:lastModifiedBy>Thiago Alessandro Tormena</cp:lastModifiedBy>
  <cp:revision>4</cp:revision>
  <dcterms:created xsi:type="dcterms:W3CDTF">2016-03-28T19:26:00Z</dcterms:created>
  <dcterms:modified xsi:type="dcterms:W3CDTF">2016-03-28T19:56:00Z</dcterms:modified>
</cp:coreProperties>
</file>