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F43" w:rsidRDefault="00660F43" w:rsidP="00660F43">
      <w:pPr>
        <w:pStyle w:val="Heading11"/>
      </w:pPr>
      <w:bookmarkStart w:id="0" w:name="_Toc261457991"/>
      <w:bookmarkStart w:id="1" w:name="_Toc272745748"/>
      <w:r>
        <w:t>Outlooki seadistamine</w:t>
      </w:r>
      <w:bookmarkEnd w:id="0"/>
      <w:bookmarkEnd w:id="1"/>
    </w:p>
    <w:tbl>
      <w:tblPr>
        <w:tblW w:w="10173" w:type="dxa"/>
        <w:tblLook w:val="04A0"/>
      </w:tblPr>
      <w:tblGrid>
        <w:gridCol w:w="237"/>
        <w:gridCol w:w="4593"/>
        <w:gridCol w:w="5343"/>
      </w:tblGrid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4538" w:type="dxa"/>
          </w:tcPr>
          <w:p w:rsidR="00660F43" w:rsidRDefault="00660F43" w:rsidP="00F93F94">
            <w:pPr>
              <w:pStyle w:val="tabelisisu"/>
            </w:pPr>
            <w:r>
              <w:t xml:space="preserve">Kasutaja valib Outlooki menüüribalt </w:t>
            </w:r>
            <w:r w:rsidRPr="00FF09B7">
              <w:t>„Tools“ ning sealt alt „Account settings“</w:t>
            </w:r>
          </w:p>
          <w:p w:rsidR="00660F43" w:rsidRDefault="00660F43" w:rsidP="00F93F94">
            <w:pPr>
              <w:pStyle w:val="tabelisisu"/>
            </w:pPr>
          </w:p>
          <w:p w:rsidR="00660F43" w:rsidRDefault="00660F43" w:rsidP="00F93F94">
            <w:pPr>
              <w:pStyle w:val="tabelisisu"/>
            </w:pPr>
            <w:r>
              <w:t>Avanenud e-posti kontode aknas tuleb kõpsata sakil ’E-mail’ „New …“</w:t>
            </w:r>
          </w:p>
        </w:tc>
        <w:tc>
          <w:tcPr>
            <w:tcW w:w="5310" w:type="dxa"/>
          </w:tcPr>
          <w:p w:rsidR="00660F43" w:rsidRDefault="00660F43" w:rsidP="00F93F94">
            <w:pPr>
              <w:pStyle w:val="tabelisisu"/>
            </w:pPr>
            <w:r>
              <w:rPr>
                <w:noProof/>
                <w:lang w:eastAsia="et-EE"/>
              </w:rPr>
              <w:drawing>
                <wp:inline distT="0" distB="0" distL="0" distR="0">
                  <wp:extent cx="1893600" cy="2091600"/>
                  <wp:effectExtent l="19050" t="19050" r="0" b="4445"/>
                  <wp:docPr id="11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600" cy="209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F43" w:rsidRDefault="00660F43" w:rsidP="00F93F94">
            <w:pPr>
              <w:pStyle w:val="tabelisisu"/>
            </w:pPr>
          </w:p>
        </w:tc>
      </w:tr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9848" w:type="dxa"/>
            <w:gridSpan w:val="2"/>
          </w:tcPr>
          <w:p w:rsidR="00660F43" w:rsidRDefault="00660F43" w:rsidP="00F93F94">
            <w:pPr>
              <w:pStyle w:val="Loetelu-vaheta"/>
            </w:pPr>
            <w:r>
              <w:t>A</w:t>
            </w:r>
            <w:r w:rsidRPr="00AB4626">
              <w:t>vanenud aknas valida „Microsoft Exchange, POP3, IMAP, or HTTP“ ning k</w:t>
            </w:r>
            <w:r>
              <w:t>lõpsata</w:t>
            </w:r>
            <w:r w:rsidRPr="00AB4626">
              <w:t xml:space="preserve"> „</w:t>
            </w:r>
            <w:r>
              <w:t>N</w:t>
            </w:r>
            <w:r w:rsidRPr="00AB4626">
              <w:t>ext &gt;“</w:t>
            </w:r>
          </w:p>
          <w:p w:rsidR="00660F43" w:rsidRPr="00FF09B7" w:rsidRDefault="00660F43" w:rsidP="00F93F94">
            <w:pPr>
              <w:pStyle w:val="tabelisisu"/>
            </w:pPr>
            <w:r>
              <w:rPr>
                <w:noProof/>
                <w:lang w:eastAsia="et-EE"/>
              </w:rPr>
              <w:drawing>
                <wp:inline distT="0" distB="0" distL="0" distR="0">
                  <wp:extent cx="6051600" cy="2617200"/>
                  <wp:effectExtent l="19050" t="19050" r="6350" b="0"/>
                  <wp:docPr id="12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600" cy="261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9848" w:type="dxa"/>
            <w:gridSpan w:val="2"/>
          </w:tcPr>
          <w:p w:rsidR="00660F43" w:rsidRDefault="00660F43" w:rsidP="00F93F94">
            <w:pPr>
              <w:pStyle w:val="Loetelu-vaheta"/>
            </w:pPr>
            <w:r>
              <w:t>Linnutada kast „Manually configure server settings or additional server types“ ning seejärel klõpsata „Next &gt;“</w:t>
            </w:r>
          </w:p>
          <w:p w:rsidR="00660F43" w:rsidRDefault="00660F43" w:rsidP="00F93F94">
            <w:pPr>
              <w:pStyle w:val="tabelisisu"/>
            </w:pPr>
            <w:r>
              <w:rPr>
                <w:noProof/>
                <w:lang w:eastAsia="et-EE"/>
              </w:rPr>
              <w:drawing>
                <wp:inline distT="0" distB="0" distL="0" distR="0">
                  <wp:extent cx="6153150" cy="2628900"/>
                  <wp:effectExtent l="19050" t="19050" r="0" b="0"/>
                  <wp:docPr id="13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F43" w:rsidRDefault="00660F43" w:rsidP="00F93F94">
            <w:pPr>
              <w:pStyle w:val="tabelisisu"/>
            </w:pPr>
          </w:p>
        </w:tc>
      </w:tr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9848" w:type="dxa"/>
            <w:gridSpan w:val="2"/>
          </w:tcPr>
          <w:p w:rsidR="00660F43" w:rsidRDefault="00660F43" w:rsidP="00F93F94">
            <w:pPr>
              <w:pStyle w:val="Loetelu-vaheta"/>
            </w:pPr>
            <w:r>
              <w:t>Avanenud aknas valida „Internet E-mail“ ning seejärel klõpsata „Next &gt;“</w:t>
            </w:r>
          </w:p>
          <w:p w:rsidR="00660F43" w:rsidRDefault="00660F43" w:rsidP="00F93F94">
            <w:pPr>
              <w:pStyle w:val="tabelisisu"/>
            </w:pPr>
            <w:r>
              <w:rPr>
                <w:noProof/>
                <w:lang w:eastAsia="et-EE"/>
              </w:rPr>
              <w:drawing>
                <wp:inline distT="0" distB="0" distL="0" distR="0">
                  <wp:extent cx="6153150" cy="2647950"/>
                  <wp:effectExtent l="0" t="0" r="0" b="0"/>
                  <wp:docPr id="14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9848" w:type="dxa"/>
            <w:gridSpan w:val="2"/>
          </w:tcPr>
          <w:p w:rsidR="00660F43" w:rsidRDefault="00660F43" w:rsidP="00F93F94">
            <w:pPr>
              <w:pStyle w:val="Loetelu-vaheta"/>
            </w:pPr>
            <w:r>
              <w:t xml:space="preserve">Täita väljad </w:t>
            </w:r>
          </w:p>
          <w:p w:rsidR="00660F43" w:rsidRPr="00AB4626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Account Type peab olema „IMAP“</w:t>
            </w:r>
          </w:p>
          <w:p w:rsidR="00660F43" w:rsidRPr="00AB4626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Incoming mail server peab olema „dhs.example.com“</w:t>
            </w:r>
          </w:p>
          <w:p w:rsidR="00660F43" w:rsidRPr="00AB4626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Outgoing mail server alla võib sisestada suvalise sõna</w:t>
            </w:r>
          </w:p>
          <w:p w:rsidR="00660F43" w:rsidRPr="00AB4626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User Name ja Password peavad vastama sellele, millega logitakse DHS’i sisse</w:t>
            </w:r>
          </w:p>
          <w:p w:rsidR="00660F43" w:rsidRPr="00AB4626" w:rsidRDefault="00660F43" w:rsidP="00F93F94">
            <w:pPr>
              <w:pStyle w:val="tabelisisu"/>
            </w:pPr>
            <w:r>
              <w:rPr>
                <w:noProof/>
                <w:lang w:eastAsia="et-EE"/>
              </w:rPr>
              <w:drawing>
                <wp:inline distT="0" distB="0" distL="0" distR="0">
                  <wp:extent cx="6143625" cy="2647950"/>
                  <wp:effectExtent l="19050" t="19050" r="9525" b="0"/>
                  <wp:docPr id="15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F43" w:rsidRDefault="00660F43" w:rsidP="00F93F94">
            <w:pPr>
              <w:pStyle w:val="Loetelu-vaheta"/>
            </w:pPr>
            <w:r>
              <w:t>Klõpsake nupul „Test Account Settings“</w:t>
            </w:r>
          </w:p>
          <w:p w:rsidR="00660F43" w:rsidRPr="001C1051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Kui avanenud aknas kuvatakse natukese aja pärast allolev tekst lahtri „Tasks“ all, siis võite akna „Test account settings“ kinni panna ja vajutada nupul „Next &gt;“.</w:t>
            </w:r>
          </w:p>
          <w:p w:rsidR="00660F43" w:rsidRPr="001C1051" w:rsidRDefault="00660F43" w:rsidP="00660F43">
            <w:pPr>
              <w:pStyle w:val="Loetelu-vaheta"/>
              <w:numPr>
                <w:ilvl w:val="0"/>
                <w:numId w:val="5"/>
              </w:numPr>
              <w:rPr>
                <w:sz w:val="20"/>
              </w:rPr>
            </w:pPr>
            <w:r>
              <w:t>Juhul kui „Log onto incoming e-mail server IMAP“ taga on mõni veateade, siis kontrollige üle eelnevalt täidetud väljad ning proovige uuesti.</w:t>
            </w:r>
          </w:p>
          <w:p w:rsidR="00660F43" w:rsidRDefault="00660F43" w:rsidP="00F93F94">
            <w:pPr>
              <w:pStyle w:val="tabelisisu"/>
            </w:pPr>
          </w:p>
        </w:tc>
      </w:tr>
      <w:tr w:rsidR="00660F43" w:rsidTr="00F93F94">
        <w:tc>
          <w:tcPr>
            <w:tcW w:w="325" w:type="dxa"/>
          </w:tcPr>
          <w:p w:rsidR="00660F43" w:rsidRDefault="00660F43" w:rsidP="00660F43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9848" w:type="dxa"/>
            <w:gridSpan w:val="2"/>
          </w:tcPr>
          <w:p w:rsidR="00660F43" w:rsidRDefault="00660F43" w:rsidP="00F93F94">
            <w:pPr>
              <w:pStyle w:val="Loetelu-vaheta"/>
            </w:pPr>
            <w:r>
              <w:t>Seejärel vajutage avanenud aknas „Finish“ ning Outlook on seadistatud.</w:t>
            </w:r>
          </w:p>
        </w:tc>
      </w:tr>
    </w:tbl>
    <w:p w:rsidR="001B3D06" w:rsidRDefault="001B3D06"/>
    <w:sectPr w:rsidR="001B3D06" w:rsidSect="001B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A56"/>
    <w:multiLevelType w:val="multilevel"/>
    <w:tmpl w:val="F826611E"/>
    <w:styleLink w:val="Loetelu-punktidega"/>
    <w:lvl w:ilvl="0">
      <w:start w:val="1"/>
      <w:numFmt w:val="bullet"/>
      <w:pStyle w:val="Loetelu-vaheta"/>
      <w:lvlText w:val="Δ"/>
      <w:lvlJc w:val="left"/>
      <w:pPr>
        <w:ind w:left="360" w:hanging="360"/>
      </w:pPr>
      <w:rPr>
        <w:rFonts w:ascii="Arial" w:hAnsi="Arial" w:hint="default"/>
        <w:b/>
        <w:i w:val="0"/>
        <w:color w:val="1F497D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D26B23"/>
    <w:multiLevelType w:val="hybridMultilevel"/>
    <w:tmpl w:val="9106FA6E"/>
    <w:lvl w:ilvl="0" w:tplc="EF4CE3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E4B5F"/>
    <w:multiLevelType w:val="hybridMultilevel"/>
    <w:tmpl w:val="6988F0EC"/>
    <w:lvl w:ilvl="0" w:tplc="B9D21C3E">
      <w:start w:val="1"/>
      <w:numFmt w:val="decimal"/>
      <w:pStyle w:val="ListParagraph1"/>
      <w:lvlText w:val="%1."/>
      <w:lvlJc w:val="left"/>
      <w:pPr>
        <w:ind w:left="360" w:hanging="360"/>
      </w:pPr>
      <w:rPr>
        <w:rFonts w:hint="default"/>
        <w:color w:val="548DD4"/>
        <w:sz w:val="32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7527A7"/>
    <w:multiLevelType w:val="multilevel"/>
    <w:tmpl w:val="080C2E70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0F43"/>
    <w:rsid w:val="000C5A0B"/>
    <w:rsid w:val="00130C50"/>
    <w:rsid w:val="001B3D06"/>
    <w:rsid w:val="001E3688"/>
    <w:rsid w:val="00261B3C"/>
    <w:rsid w:val="002B10A6"/>
    <w:rsid w:val="002B5457"/>
    <w:rsid w:val="003157AE"/>
    <w:rsid w:val="003F092C"/>
    <w:rsid w:val="004C03B9"/>
    <w:rsid w:val="00501B60"/>
    <w:rsid w:val="005B603F"/>
    <w:rsid w:val="005D621E"/>
    <w:rsid w:val="006108FE"/>
    <w:rsid w:val="00646313"/>
    <w:rsid w:val="00660F43"/>
    <w:rsid w:val="00665339"/>
    <w:rsid w:val="006D22CE"/>
    <w:rsid w:val="007104B2"/>
    <w:rsid w:val="007163D3"/>
    <w:rsid w:val="0076016E"/>
    <w:rsid w:val="008E2719"/>
    <w:rsid w:val="009269AC"/>
    <w:rsid w:val="00946695"/>
    <w:rsid w:val="00967EB1"/>
    <w:rsid w:val="009D765B"/>
    <w:rsid w:val="00A706AA"/>
    <w:rsid w:val="00AB1547"/>
    <w:rsid w:val="00AB2CC0"/>
    <w:rsid w:val="00AB7457"/>
    <w:rsid w:val="00B168F3"/>
    <w:rsid w:val="00B70C31"/>
    <w:rsid w:val="00C045C4"/>
    <w:rsid w:val="00C7361A"/>
    <w:rsid w:val="00C952E9"/>
    <w:rsid w:val="00CC6A94"/>
    <w:rsid w:val="00D01507"/>
    <w:rsid w:val="00D95D81"/>
    <w:rsid w:val="00DA0FAC"/>
    <w:rsid w:val="00DA5A4E"/>
    <w:rsid w:val="00E27A40"/>
    <w:rsid w:val="00E33816"/>
    <w:rsid w:val="00EC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43"/>
    <w:pPr>
      <w:suppressAutoHyphens/>
      <w:spacing w:after="240" w:line="240" w:lineRule="auto"/>
    </w:pPr>
    <w:rPr>
      <w:rFonts w:ascii="Arial" w:eastAsia="Times New Roman" w:hAnsi="Arial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etelu-vaheta">
    <w:name w:val="Loetelu - vaheta"/>
    <w:basedOn w:val="Normal"/>
    <w:rsid w:val="00660F43"/>
    <w:pPr>
      <w:numPr>
        <w:numId w:val="1"/>
      </w:numPr>
      <w:spacing w:after="0"/>
    </w:pPr>
  </w:style>
  <w:style w:type="numbering" w:customStyle="1" w:styleId="Loetelu-punktidega">
    <w:name w:val="Loetelu - punktidega"/>
    <w:basedOn w:val="NoList"/>
    <w:rsid w:val="00660F43"/>
    <w:pPr>
      <w:numPr>
        <w:numId w:val="1"/>
      </w:numPr>
    </w:pPr>
  </w:style>
  <w:style w:type="paragraph" w:customStyle="1" w:styleId="tabelisisu">
    <w:name w:val="tabeli sisu"/>
    <w:basedOn w:val="Normal"/>
    <w:rsid w:val="00660F43"/>
    <w:pPr>
      <w:spacing w:after="0"/>
    </w:pPr>
    <w:rPr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660F43"/>
    <w:pPr>
      <w:numPr>
        <w:numId w:val="3"/>
      </w:numPr>
      <w:contextualSpacing/>
    </w:pPr>
  </w:style>
  <w:style w:type="paragraph" w:customStyle="1" w:styleId="Heading11">
    <w:name w:val="Heading 11"/>
    <w:basedOn w:val="Normal"/>
    <w:rsid w:val="00660F43"/>
    <w:pPr>
      <w:keepNext/>
      <w:pageBreakBefore/>
      <w:numPr>
        <w:numId w:val="2"/>
      </w:numPr>
      <w:shd w:val="clear" w:color="auto" w:fill="C6D9F1"/>
      <w:spacing w:before="480" w:after="0"/>
    </w:pPr>
    <w:rPr>
      <w:b/>
      <w:sz w:val="32"/>
    </w:rPr>
  </w:style>
  <w:style w:type="paragraph" w:customStyle="1" w:styleId="Heading21">
    <w:name w:val="Heading 21"/>
    <w:basedOn w:val="Normal"/>
    <w:next w:val="BodyText"/>
    <w:rsid w:val="00660F43"/>
    <w:pPr>
      <w:keepNext/>
      <w:numPr>
        <w:ilvl w:val="1"/>
        <w:numId w:val="2"/>
      </w:numPr>
      <w:spacing w:before="240"/>
    </w:pPr>
    <w:rPr>
      <w:b/>
      <w:spacing w:val="20"/>
      <w:sz w:val="28"/>
    </w:rPr>
  </w:style>
  <w:style w:type="paragraph" w:customStyle="1" w:styleId="Heading31">
    <w:name w:val="Heading 31"/>
    <w:basedOn w:val="Normal"/>
    <w:next w:val="Normal"/>
    <w:rsid w:val="00660F43"/>
    <w:pPr>
      <w:numPr>
        <w:ilvl w:val="2"/>
        <w:numId w:val="2"/>
      </w:numPr>
      <w:spacing w:before="240"/>
    </w:pPr>
    <w:rPr>
      <w:b/>
      <w:sz w:val="24"/>
    </w:rPr>
  </w:style>
  <w:style w:type="paragraph" w:customStyle="1" w:styleId="Heading41">
    <w:name w:val="Heading 41"/>
    <w:basedOn w:val="Normal"/>
    <w:unhideWhenUsed/>
    <w:rsid w:val="00660F43"/>
    <w:pPr>
      <w:numPr>
        <w:ilvl w:val="3"/>
        <w:numId w:val="2"/>
      </w:numPr>
    </w:pPr>
  </w:style>
  <w:style w:type="paragraph" w:customStyle="1" w:styleId="Heading51">
    <w:name w:val="Heading 51"/>
    <w:basedOn w:val="Normal"/>
    <w:semiHidden/>
    <w:unhideWhenUsed/>
    <w:rsid w:val="00660F43"/>
    <w:pPr>
      <w:numPr>
        <w:ilvl w:val="4"/>
        <w:numId w:val="2"/>
      </w:numPr>
    </w:pPr>
  </w:style>
  <w:style w:type="paragraph" w:customStyle="1" w:styleId="Heading61">
    <w:name w:val="Heading 61"/>
    <w:basedOn w:val="Normal"/>
    <w:semiHidden/>
    <w:unhideWhenUsed/>
    <w:rsid w:val="00660F43"/>
    <w:pPr>
      <w:numPr>
        <w:ilvl w:val="5"/>
        <w:numId w:val="2"/>
      </w:numPr>
    </w:pPr>
  </w:style>
  <w:style w:type="paragraph" w:customStyle="1" w:styleId="Heading71">
    <w:name w:val="Heading 71"/>
    <w:basedOn w:val="Normal"/>
    <w:semiHidden/>
    <w:unhideWhenUsed/>
    <w:rsid w:val="00660F43"/>
    <w:pPr>
      <w:numPr>
        <w:ilvl w:val="6"/>
        <w:numId w:val="2"/>
      </w:numPr>
    </w:pPr>
  </w:style>
  <w:style w:type="paragraph" w:customStyle="1" w:styleId="Heading81">
    <w:name w:val="Heading 81"/>
    <w:basedOn w:val="Normal"/>
    <w:semiHidden/>
    <w:unhideWhenUsed/>
    <w:rsid w:val="00660F43"/>
    <w:pPr>
      <w:numPr>
        <w:ilvl w:val="7"/>
        <w:numId w:val="2"/>
      </w:numPr>
    </w:pPr>
  </w:style>
  <w:style w:type="paragraph" w:customStyle="1" w:styleId="Heading91">
    <w:name w:val="Heading 91"/>
    <w:basedOn w:val="Normal"/>
    <w:semiHidden/>
    <w:unhideWhenUsed/>
    <w:rsid w:val="00660F43"/>
    <w:pPr>
      <w:numPr>
        <w:ilvl w:val="8"/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660F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0F43"/>
    <w:rPr>
      <w:rFonts w:ascii="Arial" w:eastAsia="Times New Roman" w:hAnsi="Arial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4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 Kvell</dc:creator>
  <cp:keywords/>
  <dc:description/>
  <cp:lastModifiedBy>Alar Kvell</cp:lastModifiedBy>
  <cp:revision>1</cp:revision>
  <dcterms:created xsi:type="dcterms:W3CDTF">2011-07-12T11:14:00Z</dcterms:created>
  <dcterms:modified xsi:type="dcterms:W3CDTF">2011-07-12T11:17:00Z</dcterms:modified>
</cp:coreProperties>
</file>