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W w:w="5000" w:type="pct"/>
        <w:tblInd w:w="108" w:type="dxa"/>
        <w:tblCellMar>
          <w:left w:w="108" w:type="dxa"/>
          <w:top w:w="0" w:type="dxa"/>
          <w:right w:w="108" w:type="dxa"/>
          <w:bottom w:w="0" w:type="dxa"/>
        </w:tblCellMar>
        <w:tblLook w:val="04A0" w:firstRow="1" w:lastRow="0" w:firstColumn="1" w:lastColumn="0" w:noHBand="0" w:noVBand="1"/>
      </w:tblPr>
      <w:tblGrid>
        <w:gridCol w:w="5668"/>
        <w:gridCol w:w="3738"/>
      </w:tblGrid>
      <w:tr>
        <w:trPr/>
        <w:tc>
          <w:tcPr>
            <w:gridSpan w:val="2"/>
            <w:tcW w:w="9406" w:type="dxa"/>
            <w:textDirection w:val="lrTb"/>
            <w:noWrap w:val="false"/>
          </w:tcPr>
          <w:p>
            <w:pPr>
              <w:pStyle w:val="700"/>
              <w:rPr>
                <w:i/>
                <w:iCs/>
                <w:lang w:val="it-IT"/>
              </w:rPr>
            </w:pPr>
            <w:r>
              <w:rPr>
                <w:i/>
                <w:iCs/>
                <w:lang w:val="it-IT"/>
              </w:rPr>
              <w:t xml:space="preserve">Terrore a Ravenwood</w:t>
            </w:r>
            <w:r/>
          </w:p>
        </w:tc>
      </w:tr>
      <w:tr>
        <w:trPr>
          <w:trHeight w:val="279"/>
        </w:trPr>
        <w:tc>
          <w:tcPr>
            <w:gridSpan w:val="2"/>
            <w:tcW w:w="9406" w:type="dxa"/>
            <w:textDirection w:val="lrTb"/>
            <w:noWrap w:val="false"/>
          </w:tcPr>
          <w:p>
            <w:pPr>
              <w:pStyle w:val="643"/>
              <w:jc w:val="center"/>
              <w:spacing w:before="0" w:after="200"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572635" cy="80010"/>
                      <wp:effectExtent l="0" t="0" r="0" b="0"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>
                                <a:off x="0" y="0"/>
                                <a:ext cx="4572000" cy="79200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C00000"/>
                              </a:solidFill>
                              <a:ln w="12600">
                                <a:solidFill>
                                  <a:srgbClr val="C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shape 0" o:spid="_x0000_s0" o:spt="110" type="#_x0000_t110" style="width:360.0pt;height:6.3pt;mso-wrap-distance-left:0.0pt;mso-wrap-distance-top:0.0pt;mso-wrap-distance-right:0.0pt;mso-wrap-distance-bottom:0.0pt;visibility:visible;" fillcolor="#C00000" strokecolor="#C00000" strokeweight="0.99pt"/>
                  </w:pict>
                </mc:Fallback>
              </mc:AlternateContent>
            </w:r>
            <w:r/>
          </w:p>
        </w:tc>
      </w:tr>
      <w:tr>
        <w:trPr>
          <w:trHeight w:val="949"/>
        </w:trPr>
        <w:tc>
          <w:tcPr>
            <w:gridSpan w:val="2"/>
            <w:tcBorders>
              <w:bottom w:val="single" w:color="C45911" w:sz="24" w:space="0"/>
            </w:tcBorders>
            <w:tcW w:w="9406" w:type="dxa"/>
            <w:textDirection w:val="lrTb"/>
            <w:noWrap w:val="false"/>
          </w:tcPr>
          <w:p>
            <w:pPr>
              <w:pStyle w:val="701"/>
              <w:rPr>
                <w:i/>
                <w:iCs/>
                <w:lang w:val="it-IT"/>
              </w:rPr>
            </w:pPr>
            <w:r>
              <w:rPr>
                <w:i/>
                <w:iCs/>
                <w:lang w:val="it-IT"/>
              </w:rPr>
              <w:t xml:space="preserve">La miniera di Ravenwood</w:t>
            </w:r>
            <w:r/>
          </w:p>
        </w:tc>
      </w:tr>
      <w:tr>
        <w:trPr>
          <w:trHeight w:val="3177"/>
        </w:trPr>
        <w:tc>
          <w:tcPr>
            <w:gridSpan w:val="2"/>
            <w:shd w:val="clear" w:color="auto" w:fill="fff2cc"/>
            <w:tcBorders>
              <w:top w:val="single" w:color="C45911" w:sz="24" w:space="0"/>
              <w:bottom w:val="single" w:color="C45911" w:sz="24" w:space="0"/>
            </w:tcBorders>
            <w:tcW w:w="9406" w:type="dxa"/>
            <w:vAlign w:val="center"/>
            <w:textDirection w:val="lrTb"/>
            <w:noWrap w:val="false"/>
          </w:tcPr>
          <w:p>
            <w:pPr>
              <w:pStyle w:val="699"/>
              <w:jc w:val="center"/>
              <w:rPr>
                <w:i/>
                <w:color w:val="833c0b"/>
                <w:sz w:val="24"/>
                <w:szCs w:val="24"/>
              </w:rPr>
            </w:pPr>
            <w:r>
              <w:rPr>
                <w:i/>
                <w:iCs/>
                <w:color w:val="833c0b"/>
                <w:sz w:val="24"/>
              </w:rPr>
              <w:t xml:space="preserve">Benvenuti a Terrore a Ravenswood</w:t>
            </w:r>
            <w:r/>
            <w:r>
              <w:rPr>
                <w:i/>
                <w:iCs/>
                <w:color w:val="833c0b"/>
                <w:sz w:val="24"/>
              </w:rPr>
              <w:t xml:space="preserve">. </w:t>
            </w:r>
            <w:r>
              <w:rPr>
                <w:i/>
                <w:iCs/>
                <w:color w:val="833c0b"/>
                <w:sz w:val="24"/>
              </w:rPr>
            </w:r>
          </w:p>
          <w:p>
            <w:pPr>
              <w:pStyle w:val="699"/>
              <w:jc w:val="center"/>
              <w:rPr>
                <w:bCs/>
                <w:i/>
                <w:color w:val="833c0b"/>
                <w:sz w:val="24"/>
                <w:szCs w:val="24"/>
              </w:rPr>
            </w:pPr>
            <w:r>
              <w:rPr>
                <w:i/>
                <w:iCs/>
                <w:color w:val="833c0b"/>
                <w:sz w:val="24"/>
              </w:rPr>
              <w:t xml:space="preserve">Questa campagna è perfetta per un gruppo di</w:t>
            </w:r>
            <w:r>
              <w:rPr>
                <w:i/>
                <w:iCs/>
                <w:color w:val="833c0b"/>
                <w:sz w:val="24"/>
              </w:rPr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quattro o cinque personaggi a partire dal 1° livello. I personaggi</w:t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cresceranno e si svilupperanno man mano che</w:t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viaggio, raggiungendo il 3° livello alla sua conclusione. In</w:t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questa avventura, i giocatori affronteranno creature pericolose</w:t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creature pericolose e potenti boss e risolveranno</w:t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enigmi. Interagiranno anche con vari PNG,</w:t>
            </w:r>
            <w:r/>
          </w:p>
          <w:p>
            <w:pPr>
              <w:pStyle w:val="699"/>
              <w:jc w:val="center"/>
            </w:pPr>
            <w:r>
              <w:rPr>
                <w:i/>
                <w:iCs/>
                <w:color w:val="833c0b"/>
                <w:sz w:val="24"/>
              </w:rPr>
              <w:t xml:space="preserve">tra cui l'anziano del villaggio, il fabbro, il locandiere e molti altri</w:t>
            </w:r>
            <w:r>
              <w:rPr>
                <w:i/>
                <w:iCs/>
                <w:color w:val="833c0b"/>
                <w:sz w:val="24"/>
                <w:lang w:val="it-IT"/>
              </w:rPr>
              <w:t xml:space="preserve">.</w:t>
            </w:r>
            <w:r/>
          </w:p>
        </w:tc>
      </w:tr>
      <w:tr>
        <w:trPr>
          <w:trHeight w:val="1570"/>
        </w:trPr>
        <w:tc>
          <w:tcPr>
            <w:gridSpan w:val="2"/>
            <w:tcBorders>
              <w:top w:val="single" w:color="C45911" w:sz="24" w:space="0"/>
            </w:tcBorders>
            <w:tcW w:w="9406" w:type="dxa"/>
            <w:vAlign w:val="center"/>
            <w:textDirection w:val="lrTb"/>
            <w:noWrap w:val="false"/>
          </w:tcPr>
          <w:p>
            <w:pPr>
              <w:pStyle w:val="699"/>
              <w:jc w:val="center"/>
            </w:pPr>
            <w:r>
              <w:rPr>
                <w:b/>
                <w:i/>
                <w:iCs/>
                <w:sz w:val="32"/>
              </w:rPr>
              <w:t xml:space="preserve">Questa avventura si gioca al meglio con un gruppo di </w:t>
            </w:r>
            <w:r>
              <w:rPr>
                <w:rFonts w:eastAsia="Arial"/>
                <w:b/>
                <w:i/>
                <w:iCs/>
                <w:sz w:val="32"/>
                <w:szCs w:val="22"/>
                <w:lang w:val="it-IT"/>
              </w:rPr>
              <w:t xml:space="preserve">4</w:t>
            </w:r>
            <w:r>
              <w:rPr>
                <w:rFonts w:eastAsia="Arial"/>
                <w:b/>
                <w:i/>
                <w:iCs/>
                <w:sz w:val="32"/>
                <w:szCs w:val="22"/>
                <w:lang w:val="en-US" w:eastAsia="zh-CN"/>
              </w:rPr>
              <w:t xml:space="preserve">-</w:t>
            </w:r>
            <w:r>
              <w:rPr>
                <w:rFonts w:eastAsia="Arial"/>
                <w:b/>
                <w:i/>
                <w:iCs/>
                <w:sz w:val="32"/>
                <w:szCs w:val="22"/>
                <w:lang w:val="it-IT"/>
              </w:rPr>
              <w:t xml:space="preserve">5</w:t>
            </w:r>
            <w:r>
              <w:rPr>
                <w:b/>
                <w:i/>
                <w:iCs/>
                <w:sz w:val="32"/>
              </w:rPr>
              <w:t xml:space="preserve"> personaggi di livello </w:t>
            </w:r>
            <w:r>
              <w:rPr>
                <w:b/>
                <w:i/>
                <w:iCs/>
                <w:sz w:val="32"/>
                <w:lang w:val="it-IT"/>
              </w:rPr>
              <w:t xml:space="preserve">1</w:t>
            </w:r>
            <w:r>
              <w:rPr>
                <w:b/>
                <w:i/>
                <w:iCs/>
                <w:sz w:val="32"/>
              </w:rPr>
              <w:t xml:space="preserve">-</w:t>
            </w:r>
            <w:r>
              <w:rPr>
                <w:b/>
                <w:i/>
                <w:iCs/>
                <w:sz w:val="32"/>
                <w:lang w:val="it-IT"/>
              </w:rPr>
              <w:t xml:space="preserve">3</w:t>
            </w:r>
            <w:r>
              <w:rPr>
                <w:b/>
                <w:i/>
                <w:iCs/>
                <w:sz w:val="32"/>
              </w:rPr>
              <w:t xml:space="preserve">.</w:t>
            </w:r>
            <w:r/>
          </w:p>
        </w:tc>
      </w:tr>
      <w:tr>
        <w:trPr>
          <w:trHeight w:val="3721"/>
        </w:trPr>
        <w:tc>
          <w:tcPr>
            <w:gridSpan w:val="2"/>
            <w:tcW w:w="9406" w:type="dxa"/>
            <w:vAlign w:val="center"/>
            <w:textDirection w:val="lrTb"/>
            <w:noWrap w:val="false"/>
          </w:tcPr>
          <w:p>
            <w:pPr>
              <w:pStyle w:val="699"/>
              <w:jc w:val="center"/>
              <w:rPr>
                <w:rFonts w:eastAsia="Arial"/>
                <w:i/>
                <w:iCs/>
              </w:rPr>
            </w:pPr>
            <w:r>
              <w:rPr>
                <w:rFonts w:eastAsia="Arial"/>
                <w:i/>
                <w:iCs/>
              </w:rPr>
              <w:t xml:space="preserve">Eventuale immagine introduttiva dell’avventura</w:t>
            </w:r>
            <w:r/>
          </w:p>
        </w:tc>
      </w:tr>
      <w:tr>
        <w:trPr>
          <w:trHeight w:val="495"/>
        </w:trPr>
        <w:tc>
          <w:tcPr>
            <w:tcW w:w="5668" w:type="dxa"/>
            <w:vAlign w:val="center"/>
            <w:textDirection w:val="lrTb"/>
            <w:noWrap w:val="false"/>
          </w:tcPr>
          <w:p>
            <w:pPr>
              <w:pStyle w:val="699"/>
              <w:jc w:val="center"/>
            </w:pPr>
            <w:r>
              <w:rPr>
                <w:smallCaps/>
                <w:sz w:val="24"/>
                <w:lang w:val="it-IT"/>
              </w:rPr>
              <w:t xml:space="preserve">Scritto da</w:t>
            </w:r>
            <w:r>
              <w:rPr>
                <w:smallCaps/>
                <w:sz w:val="24"/>
              </w:rPr>
              <w:t xml:space="preserve"> </w:t>
            </w:r>
            <w:r>
              <w:rPr>
                <w:rFonts w:eastAsia="Arial"/>
                <w:b/>
                <w:i/>
                <w:iCs/>
                <w:smallCaps/>
                <w:sz w:val="32"/>
                <w:lang w:val="it-IT"/>
              </w:rPr>
              <w:t xml:space="preserve">Eric Bleney adattato per pathfinder 2e da 4535992</w:t>
            </w:r>
            <w:r>
              <w:rPr>
                <w:rFonts w:eastAsia="Arial"/>
                <w:b/>
                <w:i/>
                <w:iCs/>
                <w:smallCaps/>
                <w:sz w:val="32"/>
                <w:lang w:val="it-IT"/>
              </w:rPr>
            </w:r>
            <w:r/>
          </w:p>
        </w:tc>
        <w:tc>
          <w:tcPr>
            <w:tcW w:w="3738" w:type="dxa"/>
            <w:vAlign w:val="center"/>
            <w:vMerge w:val="restart"/>
            <w:textDirection w:val="lrTb"/>
            <w:noWrap w:val="false"/>
          </w:tcPr>
          <w:p>
            <w:pPr>
              <w:pStyle w:val="699"/>
              <w:jc w:val="right"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207895" cy="1355090"/>
                      <wp:effectExtent l="0" t="0" r="0" b="0"/>
                      <wp:docPr id="2" name="Picture 1" descr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1" descr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207895" cy="1355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1" o:spid="_x0000_s1" type="#_x0000_t75" style="width:173.8pt;height:106.7pt;mso-wrap-distance-left:0.0pt;mso-wrap-distance-top:0.0pt;mso-wrap-distance-right:0.0pt;mso-wrap-distance-bottom:0.0pt;" stroked="false">
                      <v:path textboxrect="0,0,0,0"/>
                      <v:imagedata r:id="rId12" o:title=""/>
                    </v:shape>
                  </w:pict>
                </mc:Fallback>
              </mc:AlternateContent>
            </w:r>
            <w:r/>
          </w:p>
        </w:tc>
      </w:tr>
      <w:tr>
        <w:trPr>
          <w:trHeight w:val="1602"/>
        </w:trPr>
        <w:tc>
          <w:tcPr>
            <w:tcW w:w="5668" w:type="dxa"/>
            <w:vAlign w:val="center"/>
            <w:textDirection w:val="lrTb"/>
            <w:noWrap w:val="false"/>
          </w:tcPr>
          <w:p>
            <w:pPr>
              <w:pStyle w:val="699"/>
              <w:jc w:val="center"/>
              <w:rPr>
                <w:rFonts w:eastAsia="Arial"/>
                <w:i/>
                <w:iCs/>
                <w:smallCaps/>
                <w:sz w:val="20"/>
                <w:szCs w:val="16"/>
                <w:lang w:val="en-US" w:eastAsia="zh-CN"/>
              </w:rPr>
            </w:pPr>
            <w:r>
              <w:rPr>
                <w:rFonts w:eastAsia="Arial"/>
                <w:i/>
                <w:iCs/>
                <w:smallCaps/>
                <w:sz w:val="20"/>
                <w:szCs w:val="16"/>
                <w:lang w:val="en-US" w:eastAsia="zh-CN"/>
              </w:rPr>
              <w:t xml:space="preserve">Avventura Homebrew creata per l’ambientazione </w:t>
            </w:r>
            <w:r/>
          </w:p>
          <w:p>
            <w:pPr>
              <w:pStyle w:val="699"/>
              <w:jc w:val="center"/>
              <w:rPr>
                <w:rFonts w:eastAsia="Arial"/>
                <w:i/>
                <w:iCs/>
                <w:smallCaps/>
                <w:sz w:val="20"/>
                <w:szCs w:val="16"/>
                <w:lang w:val="en-US" w:eastAsia="zh-CN"/>
              </w:rPr>
            </w:pPr>
            <w:r>
              <w:rPr>
                <w:rFonts w:eastAsia="Arial"/>
                <w:i/>
                <w:iCs/>
                <w:smallCaps/>
                <w:sz w:val="20"/>
                <w:szCs w:val="16"/>
                <w:lang w:val="en-US" w:eastAsia="zh-CN"/>
              </w:rPr>
              <w:t xml:space="preserve">Terre di Romilia </w:t>
            </w:r>
            <w:r/>
          </w:p>
        </w:tc>
        <w:tc>
          <w:tcPr>
            <w:tcW w:w="3738" w:type="dxa"/>
            <w:vAlign w:val="center"/>
            <w:vMerge w:val="continue"/>
            <w:textDirection w:val="lrTb"/>
            <w:noWrap w:val="false"/>
          </w:tcPr>
          <w:p>
            <w:pPr>
              <w:pStyle w:val="643"/>
              <w:jc w:val="left"/>
              <w:spacing w:before="0" w:after="200"/>
              <w:widowControl/>
            </w:pPr>
            <w:r/>
            <w:r/>
          </w:p>
        </w:tc>
      </w:tr>
    </w:tbl>
    <w:p>
      <w:pPr>
        <w:pStyle w:val="703"/>
        <w:rPr>
          <w:lang w:val="en-US"/>
        </w:rPr>
        <w:sectPr>
          <w:headerReference w:type="default" r:id="rId9"/>
          <w:footnotePr/>
          <w:endnotePr/>
          <w:type w:val="nextPage"/>
          <w:pgSz w:w="12240" w:h="15800" w:orient="portrait"/>
          <w:pgMar w:top="1417" w:right="1417" w:bottom="1134" w:left="1417" w:header="708" w:footer="0" w:gutter="0"/>
          <w:cols w:num="1" w:sep="0" w:space="1701" w:equalWidth="1"/>
          <w:docGrid w:linePitch="360"/>
        </w:sectPr>
      </w:pPr>
      <w:r>
        <w:rPr>
          <w:lang w:val="en-US"/>
        </w:rPr>
      </w:r>
      <w:r/>
    </w:p>
    <w:p>
      <w:pPr>
        <w:pStyle w:val="643"/>
        <w:rPr>
          <w:smallCaps/>
          <w:color w:val="c00000"/>
          <w:sz w:val="72"/>
          <w:szCs w:val="72"/>
          <w:lang w:val="en-US"/>
        </w:rPr>
      </w:pPr>
      <w:r>
        <w:rPr>
          <w:smallCaps/>
          <w:color w:val="c00000"/>
          <w:sz w:val="72"/>
          <w:szCs w:val="72"/>
          <w:lang w:val="en-US"/>
        </w:rPr>
        <w:t xml:space="preserve">Indice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703"/>
            <w:tabs>
              <w:tab w:val="clear" w:pos="9056" w:leader="none"/>
              <w:tab w:val="right" w:pos="10538" w:leader="dot"/>
            </w:tabs>
          </w:pPr>
          <w:r>
            <w:fldChar w:fldCharType="begin"/>
          </w:r>
          <w:r>
            <w:rPr>
              <w:rStyle w:val="688"/>
            </w:rPr>
            <w:instrText xml:space="preserve"> TOC \o "1-3" \h</w:instrText>
          </w:r>
          <w:r>
            <w:rPr>
              <w:rStyle w:val="688"/>
            </w:rPr>
            <w:fldChar w:fldCharType="separate"/>
          </w:r>
          <w:hyperlink w:tooltip="#__RefHeading___Toc746_4111029746" w:anchor="__RefHeading___Toc746_4111029746" w:history="1">
            <w:r>
              <w:rPr>
                <w:rStyle w:val="688"/>
              </w:rPr>
              <w:t xml:space="preserve">Capitolo di Testata</w:t>
              <w:tab/>
              <w:t xml:space="preserve">3</w:t>
            </w:r>
          </w:hyperlink>
          <w:r/>
          <w:r/>
        </w:p>
        <w:p>
          <w:pPr>
            <w:pStyle w:val="704"/>
            <w:tabs>
              <w:tab w:val="clear" w:pos="709" w:leader="none"/>
              <w:tab w:val="right" w:pos="10538" w:leader="dot"/>
            </w:tabs>
          </w:pPr>
          <w:r/>
          <w:hyperlink w:tooltip="#__RefHeading___Toc748_4111029746" w:anchor="__RefHeading___Toc748_4111029746" w:history="1">
            <w:r>
              <w:rPr>
                <w:rStyle w:val="688"/>
              </w:rPr>
              <w:t xml:space="preserve">Testata</w:t>
              <w:tab/>
              <w:t xml:space="preserve">3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750_4111029746" w:anchor="__RefHeading___Toc750_4111029746" w:history="1">
            <w:r>
              <w:rPr>
                <w:rStyle w:val="688"/>
              </w:rPr>
              <w:t xml:space="preserve">Sotto-Testata</w:t>
              <w:tab/>
              <w:t xml:space="preserve">3</w:t>
            </w:r>
          </w:hyperlink>
          <w:r/>
          <w:r/>
        </w:p>
        <w:p>
          <w:pPr>
            <w:pStyle w:val="704"/>
            <w:tabs>
              <w:tab w:val="clear" w:pos="709" w:leader="none"/>
              <w:tab w:val="right" w:pos="10538" w:leader="dot"/>
            </w:tabs>
          </w:pPr>
          <w:r/>
          <w:hyperlink w:tooltip="#__RefHeading___Toc754_4111029746" w:anchor="__RefHeading___Toc754_4111029746" w:history="1">
            <w:r>
              <w:rPr>
                <w:rStyle w:val="688"/>
              </w:rPr>
              <w:t xml:space="preserve">Elementi di Testo</w:t>
              <w:tab/>
              <w:t xml:space="preserve">3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756_4111029746" w:anchor="__RefHeading___Toc756_4111029746" w:history="1">
            <w:r>
              <w:rPr>
                <w:rStyle w:val="688"/>
              </w:rPr>
              <w:t xml:space="preserve">Box di Testo Formattati</w:t>
              <w:tab/>
              <w:t xml:space="preserve">3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758_4111029746" w:anchor="__RefHeading___Toc758_4111029746" w:history="1">
            <w:r>
              <w:rPr>
                <w:rStyle w:val="688"/>
              </w:rPr>
              <w:t xml:space="preserve">Tabelle</w:t>
              <w:tab/>
              <w:t xml:space="preserve">3</w:t>
            </w:r>
          </w:hyperlink>
          <w:r/>
          <w:r/>
        </w:p>
        <w:p>
          <w:pPr>
            <w:pStyle w:val="703"/>
            <w:tabs>
              <w:tab w:val="clear" w:pos="9056" w:leader="none"/>
              <w:tab w:val="right" w:pos="10538" w:leader="dot"/>
            </w:tabs>
          </w:pPr>
          <w:r/>
          <w:hyperlink w:tooltip="#__RefHeading___Toc760_4111029746" w:anchor="__RefHeading___Toc760_4111029746" w:history="1">
            <w:r>
              <w:rPr>
                <w:rStyle w:val="688"/>
              </w:rPr>
              <w:t xml:space="preserve">Capitolo 1(Esempio)</w:t>
              <w:tab/>
              <w:t xml:space="preserve">4</w:t>
            </w:r>
          </w:hyperlink>
          <w:r/>
          <w:r/>
        </w:p>
        <w:p>
          <w:pPr>
            <w:pStyle w:val="704"/>
            <w:tabs>
              <w:tab w:val="clear" w:pos="709" w:leader="none"/>
              <w:tab w:val="right" w:pos="10538" w:leader="dot"/>
            </w:tabs>
          </w:pPr>
          <w:r/>
          <w:hyperlink w:tooltip="#__RefHeading___Toc990_4111029746" w:anchor="__RefHeading___Toc990_4111029746" w:history="1">
            <w:r>
              <w:rPr>
                <w:rStyle w:val="688"/>
              </w:rPr>
              <w:t xml:space="preserve">Sulla strada</w:t>
              <w:tab/>
              <w:t xml:space="preserve">4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348_1337539580" w:anchor="__RefHeading___Toc348_1337539580" w:history="1">
            <w:r>
              <w:rPr>
                <w:rStyle w:val="688"/>
              </w:rPr>
              <w:t xml:space="preserve">Sulla strada</w:t>
              <w:tab/>
              <w:t xml:space="preserve">4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376_1337539580" w:anchor="__RefHeading___Toc376_1337539580" w:history="1">
            <w:r>
              <w:rPr>
                <w:rStyle w:val="688"/>
              </w:rPr>
              <w:t xml:space="preserve">I banditi</w:t>
              <w:tab/>
              <w:t xml:space="preserve">4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350_1337539580" w:anchor="__RefHeading___Toc350_1337539580" w:history="1">
            <w:r>
              <w:rPr>
                <w:rStyle w:val="688"/>
              </w:rPr>
              <w:t xml:space="preserve">Ricompensa</w:t>
              <w:tab/>
              <w:t xml:space="preserve">4</w:t>
            </w:r>
          </w:hyperlink>
          <w:r/>
          <w:r/>
        </w:p>
        <w:p>
          <w:pPr>
            <w:pStyle w:val="702"/>
            <w:tabs>
              <w:tab w:val="clear" w:pos="709" w:leader="none"/>
              <w:tab w:val="right" w:pos="10538" w:leader="dot"/>
            </w:tabs>
          </w:pPr>
          <w:r/>
          <w:hyperlink w:tooltip="#__RefHeading___Toc352_1337539580" w:anchor="__RefHeading___Toc352_1337539580" w:history="1">
            <w:r>
              <w:rPr>
                <w:rStyle w:val="688"/>
              </w:rPr>
              <w:t xml:space="preserve">La proposta del Mercante</w:t>
              <w:tab/>
              <w:t xml:space="preserve">4</w:t>
            </w:r>
          </w:hyperlink>
          <w:r>
            <w:rPr>
              <w:rStyle w:val="688"/>
            </w:rPr>
            <w:fldChar w:fldCharType="end"/>
          </w:r>
          <w:r/>
        </w:p>
      </w:sdtContent>
    </w:sdt>
    <w:p>
      <w:pPr>
        <w:pStyle w:val="643"/>
        <w:rPr>
          <w:lang w:val="en-US"/>
        </w:rPr>
      </w:pPr>
      <w:r>
        <w:rPr>
          <w:lang w:val="en-US"/>
        </w:rPr>
      </w:r>
      <w:r/>
    </w:p>
    <w:p>
      <w:pPr>
        <w:pStyle w:val="703"/>
        <w:rPr>
          <w:lang w:val="en-US"/>
        </w:rPr>
      </w:pPr>
      <w:r>
        <w:rPr>
          <w:lang w:val="en-US"/>
        </w:rPr>
      </w:r>
      <w:r>
        <w:br w:type="page" w:clear="all"/>
      </w:r>
      <w:r/>
    </w:p>
    <w:p>
      <w:pPr>
        <w:pStyle w:val="644"/>
        <w:rPr>
          <w:lang w:val="en-US"/>
        </w:rPr>
      </w:pPr>
      <w:r>
        <w:rPr>
          <w:lang w:val="en-US"/>
        </w:rPr>
      </w:r>
      <w:r/>
    </w:p>
    <w:p>
      <w:pPr>
        <w:sectPr>
          <w:headerReference w:type="default" r:id="rId10"/>
          <w:footerReference w:type="default" r:id="rId11"/>
          <w:footnotePr/>
          <w:endnotePr/>
          <w:type w:val="nextPage"/>
          <w:pgSz w:w="12240" w:h="15800" w:orient="portrait"/>
          <w:pgMar w:top="851" w:right="851" w:bottom="851" w:left="851" w:header="709" w:footer="709" w:gutter="0"/>
          <w:cols w:num="1" w:sep="0" w:space="1701" w:equalWidth="1"/>
          <w:docGrid w:linePitch="360"/>
        </w:sectPr>
      </w:pPr>
      <w:r/>
      <w:r/>
    </w:p>
    <w:p>
      <w:pPr>
        <w:pStyle w:val="644"/>
        <w:rPr>
          <w:lang w:val="it-IT"/>
        </w:rPr>
      </w:pPr>
      <w:r/>
      <w:bookmarkStart w:id="0" w:name="__RefHeading___Toc746_4111029746"/>
      <w:r/>
      <w:bookmarkStart w:id="1" w:name="_Toc483255987"/>
      <w:r/>
      <w:bookmarkEnd w:id="0"/>
      <w:r>
        <w:rPr>
          <w:lang w:val="it-IT"/>
        </w:rPr>
        <w:t xml:space="preserve">Cap 0: Introduzione</w:t>
      </w:r>
      <w:r/>
    </w:p>
    <w:p>
      <w:p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1" w:sep="0" w:space="1701" w:equalWidth="1"/>
          <w:docGrid w:linePitch="360"/>
        </w:sectPr>
      </w:pPr>
      <w:r/>
      <w:r/>
    </w:p>
    <w:p>
      <w:pPr>
        <w:pStyle w:val="643"/>
      </w:pPr>
      <w:r>
        <w:rPr>
          <w:lang w:val="en-US"/>
        </w:rPr>
      </w:r>
      <w:r>
        <w:rPr>
          <w:lang w:val="en-US"/>
        </w:rPr>
        <w:t xml:space="preserve">Le miniere di Ravenswood erano un tempo una prospera fonte di ricchezza per il villaggio. Tuttavia, un terribile disastro si è verificato nelle profondità della miniera, causandone l'abbandono. </w:t>
      </w:r>
      <w:r>
        <w:rPr>
          <w:lang w:val="it-IT"/>
        </w:rPr>
        <w:t xml:space="preserve">A</w:t>
      </w:r>
      <w:r>
        <w:rPr>
          <w:lang w:val="en-US"/>
        </w:rPr>
        <w:t xml:space="preserve">bbandonata</w:t>
      </w:r>
      <w:r>
        <w:rPr>
          <w:lang w:val="it-IT"/>
        </w:rPr>
        <w:t xml:space="preserve"> p</w:t>
      </w:r>
      <w:r>
        <w:rPr>
          <w:lang w:val="en-US"/>
        </w:rPr>
        <w:t xml:space="preserve">er anni, la miniera è rimasta sigillata e gli abi</w:t>
      </w:r>
      <w:r>
        <w:rPr>
          <w:lang w:val="en-US"/>
        </w:rPr>
        <w:t xml:space="preserve">tanti del villaggio hanno imparato a evitarla. Tuttavia, di recente sono stati segnalati strani suoni e avvistamenti nella zona, e l'anziano del villaggio teme che la miniera sia stata riattivata da qualcosa di malvagio.</w:t>
      </w:r>
      <w:r>
        <w:rPr>
          <w:lang w:val="en-US"/>
        </w:rPr>
      </w:r>
      <w:r/>
    </w:p>
    <w:p>
      <w:pPr>
        <w:pStyle w:val="645"/>
      </w:pPr>
      <w:r/>
      <w:r>
        <w:t xml:space="preserve">Overview</w:t>
      </w:r>
      <w:r>
        <w:rPr>
          <w:lang w:val="it-IT"/>
        </w:rPr>
      </w:r>
      <w:r/>
    </w:p>
    <w:p>
      <w:pPr>
        <w:pStyle w:val="643"/>
      </w:pPr>
      <w:r>
        <w:rPr>
          <w:lang w:val="it-IT"/>
        </w:rPr>
      </w:r>
      <w:r>
        <w:rPr>
          <w:lang w:val="it-IT"/>
        </w:rPr>
        <w:t xml:space="preserve">I</w:t>
      </w:r>
      <w:r>
        <w:rPr>
          <w:lang w:val="it-IT"/>
        </w:rPr>
        <w:t xml:space="preserve">n "Terrore a Ravenswood", ai giocatori viene chiesto di indagare su una miniera abbandonata nelle vicinanze. Lungo il percorso, dovranno affrontare numerose sfide, tra cui creature pericolose, trappole ed enigmi sconvolgenti. L'obiettivo principale è sconf</w:t>
      </w:r>
      <w:r>
        <w:rPr>
          <w:lang w:val="it-IT"/>
        </w:rPr>
        <w:t xml:space="preserve">i</w:t>
      </w:r>
      <w:r>
        <w:rPr>
          <w:lang w:val="it-IT"/>
        </w:rPr>
        <w:t xml:space="preserve">ggere il potente signore della guerra goblin Grommok e recuperare un prezioso artefatto dalla camera finale della miniera. Tuttavia, i giocatori scoprono presto che alcuni vogliono l'artefatto per i loro scopi e devono decidere come gestire la situazione. </w:t>
      </w:r>
      <w:r>
        <w:rPr>
          <w:lang w:val="it-IT"/>
        </w:rPr>
        <w:t xml:space="preserve">L'avventura conduce i giocatori in un viaggio di scoperta, pericolo ed eroismo mentre esplorano i misteri di Ravenswood e scoprono la verità sull'artefatto e su coloro che lo cercano.</w:t>
      </w:r>
      <w:r>
        <w:rPr>
          <w:highlight w:val="none"/>
          <w:lang w:val="it-IT"/>
        </w:rPr>
      </w:r>
      <w:r/>
    </w:p>
    <w:p>
      <w:pPr>
        <w:pStyle w:val="645"/>
      </w:pPr>
      <w:r/>
      <w:r>
        <w:t xml:space="preserve">Adventure Hook</w:t>
      </w:r>
      <w:r>
        <w:rPr>
          <w:lang w:val="it-IT"/>
        </w:rPr>
      </w:r>
      <w:r/>
    </w:p>
    <w:p>
      <w:r>
        <w:rPr>
          <w:lang w:val="it-IT"/>
        </w:rPr>
      </w:r>
      <w:r>
        <w:rPr>
          <w:lang w:val="it-IT"/>
        </w:rPr>
        <w:t xml:space="preserve">I giocatori vengono avvicinati dall'anziano del villaggio, che chiede il loro aiuto per porre fine al terrore a Ravenswood. Ricompenseranno chiunque riesca ad avventurarsi nella miniera e sconfiggere Grommock il Potente</w:t>
      </w:r>
      <w:r>
        <w:rPr>
          <w:lang w:val="it-IT"/>
        </w:rPr>
        <w:t xml:space="preserve">. I giocatori possono anche essere attratti dal villaggio dalle voci su un un potente artefatto che si dice sia nascosto nella miniera.</w:t>
      </w:r>
      <w:r>
        <w:rPr>
          <w:highlight w:val="none"/>
          <w:lang w:val="it-IT"/>
        </w:rPr>
      </w:r>
      <w:r/>
    </w:p>
    <w:p>
      <w:pPr>
        <w:pStyle w:val="645"/>
      </w:pPr>
      <w:r/>
      <w:r>
        <w:t xml:space="preserve">Run the Adventure</w:t>
      </w:r>
      <w:r>
        <w:rPr>
          <w:lang w:val="it-IT"/>
        </w:rPr>
      </w:r>
      <w:r/>
    </w:p>
    <w:p>
      <w:r>
        <w:rPr>
          <w:lang w:val="it-IT"/>
        </w:rPr>
        <w:t xml:space="preserve">Prima di iniziare l'avventura:</w:t>
      </w:r>
      <w:r>
        <w:rPr>
          <w:lang w:val="it-IT"/>
        </w:rPr>
      </w:r>
      <w:r/>
    </w:p>
    <w:p>
      <w:pPr>
        <w:pStyle w:val="712"/>
        <w:numPr>
          <w:ilvl w:val="0"/>
          <w:numId w:val="5"/>
        </w:numPr>
      </w:pPr>
      <w:r>
        <w:rPr>
          <w:lang w:val="it-IT"/>
        </w:rPr>
        <w:t xml:space="preserve">Familiarizzare con lo sfondo e i personaggi PNG per migliorare il gioco di ruolo e rendere l'esperienza più coinvolgente.</w:t>
      </w:r>
      <w:r>
        <w:rPr>
          <w:lang w:val="it-IT"/>
        </w:rPr>
      </w:r>
      <w:r/>
    </w:p>
    <w:p>
      <w:pPr>
        <w:pStyle w:val="712"/>
        <w:numPr>
          <w:ilvl w:val="0"/>
          <w:numId w:val="5"/>
        </w:numPr>
      </w:pPr>
      <w:r>
        <w:rPr>
          <w:lang w:val="it-IT"/>
        </w:rPr>
        <w:t xml:space="preserve">Incoraggiare l'interazione del giocatore con i PNG per ottenere informazioni preziose. In questo caso, regolate la difficoltà in base al livello del giocatore e preparate la scena con un linguaggio descrittivo.</w:t>
      </w:r>
      <w:r>
        <w:rPr>
          <w:lang w:val="it-IT"/>
        </w:rPr>
      </w:r>
      <w:r/>
    </w:p>
    <w:p>
      <w:pPr>
        <w:pStyle w:val="712"/>
        <w:numPr>
          <w:ilvl w:val="0"/>
          <w:numId w:val="5"/>
        </w:numPr>
      </w:pPr>
      <w:r>
        <w:rPr>
          <w:lang w:val="it-IT"/>
        </w:rPr>
        <w:t xml:space="preserve">Siate pronti a improvvisare, se necessario.</w:t>
      </w:r>
      <w:r>
        <w:rPr>
          <w:lang w:val="it-IT"/>
        </w:rPr>
      </w:r>
      <w:r/>
    </w:p>
    <w:p>
      <w:r>
        <w:rPr>
          <w:lang w:val="it-IT"/>
        </w:rPr>
        <w:t xml:space="preserve">C</w:t>
      </w:r>
      <w:r>
        <w:rPr>
          <w:lang w:val="it-IT"/>
        </w:rPr>
        <w:t xml:space="preserve">ome GM, potreste dover modificare la trama se i giocatori vanno fuori dal copione o esplorano percorsi diversi. Siate pronti a fornire ai giocatori opportunità di riposo e guarigione tra una battaglia e l'altra. La cosa più importante è creare un'esperienz</w:t>
      </w:r>
      <w:r>
        <w:rPr>
          <w:lang w:val="it-IT"/>
        </w:rPr>
        <w:t xml:space="preserve">a divertente e coinvolgente per i giocatori, che li lasci desiderare di più.</w:t>
      </w:r>
      <w:r>
        <w:rPr>
          <w:lang w:val="it-IT"/>
        </w:rPr>
      </w:r>
      <w:r/>
    </w:p>
    <w:p>
      <w:r>
        <w:rPr>
          <w:highlight w:val="none"/>
          <w:lang w:val="it-IT"/>
        </w:rPr>
      </w:r>
      <w:r>
        <w:rPr>
          <w:lang w:val="it-IT"/>
        </w:rPr>
      </w:r>
      <w:r/>
    </w:p>
    <w:p>
      <w:pPr>
        <w:pStyle w:val="646"/>
      </w:pPr>
      <w:r/>
      <w:r>
        <w:t xml:space="preserve">Run the Adventure</w:t>
      </w:r>
      <w:r>
        <w:rPr>
          <w:lang w:val="it-IT"/>
        </w:rPr>
      </w:r>
      <w:r/>
    </w:p>
    <w:p>
      <w:pPr>
        <w:pStyle w:val="643"/>
      </w:pPr>
      <w:r>
        <w:rPr>
          <w:lang w:val="it-IT"/>
        </w:rPr>
        <w:t xml:space="preserve">Testata di secondo livello</w:t>
      </w:r>
      <w:r>
        <w:rPr>
          <w:lang w:val="it-IT"/>
        </w:rPr>
      </w:r>
      <w:r/>
    </w:p>
    <w:p>
      <w:pPr>
        <w:pStyle w:val="645"/>
      </w:pPr>
      <w:r/>
      <w:r>
        <w:rPr>
          <w:i/>
          <w:iCs/>
          <w:lang w:val="it-IT"/>
        </w:rPr>
        <w:t xml:space="preserve">Elementi di Testo</w:t>
      </w:r>
      <w:r>
        <w:rPr>
          <w:i/>
          <w:iCs/>
          <w:lang w:val="it-IT"/>
        </w:rPr>
      </w:r>
      <w:r/>
    </w:p>
    <w:p>
      <w:pPr>
        <w:pStyle w:val="643"/>
      </w:pPr>
      <w:r>
        <w:rPr>
          <w:lang w:val="en-US"/>
        </w:rPr>
        <w:t xml:space="preserve">Questi elementi di design possono essere utilizzati per rappresentare diverse informazioni. Copiate l'elemento in una posizione del testo e regolate le dimensioni e il testo in base alle vostre esigenze.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w:t xml:space="preserve">Un piccolo suggerimento: tutti questi elementi di design sono racchiusi in un contenitore. Per modificare il testo, probabilmente è necessario fare clic su di esso due volte.</w:t>
      </w:r>
      <w:r>
        <w:rPr>
          <w:lang w:val="en-US"/>
        </w:rPr>
      </w:r>
      <w:r/>
    </w:p>
    <w:p>
      <w:pPr>
        <w:pStyle w:val="646"/>
      </w:pPr>
      <w:r/>
      <w:r>
        <w:rPr>
          <w:lang w:val="it-IT"/>
        </w:rPr>
        <w:t xml:space="preserve">Box di Testo Formattati</w:t>
      </w:r>
      <w:r>
        <w:rPr>
          <w:lang w:val="it-IT"/>
        </w:rPr>
      </w:r>
      <w:r/>
    </w:p>
    <w:p>
      <w:pPr>
        <w:pStyle w:val="643"/>
      </w:pPr>
      <w:r>
        <w:rPr>
          <w:lang w:val="en-US"/>
        </w:rPr>
        <w:t xml:space="preserve">Utilizzate queste caselle per enfatizzare diversi contenuti, come le informazioni che alcuni personaggi conoscono o il testo che deve essere letto ai giocatori. 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-31115</wp:posOffset>
                </wp:positionV>
                <wp:extent cx="2505710" cy="610235"/>
                <wp:effectExtent l="0" t="0" r="0" b="0"/>
                <wp:wrapNone/>
                <wp:docPr id="3" name="Forma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505240" cy="609480"/>
                        </a:xfrm>
                        <a:prstGeom prst="rect">
                          <a:avLst/>
                        </a:prstGeom>
                        <a:solidFill>
                          <a:srgbClr val="EC9BA4">
                            <a:alpha val="52000"/>
                          </a:srgbClr>
                        </a:solidFill>
                        <a:ln w="19080">
                          <a:solidFill>
                            <a:srgbClr val="FF4000">
                              <a:alpha val="40000"/>
                            </a:srgbClr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ind w:left="0" w:right="0" w:firstLine="0"/>
                              <w:jc w:val="center"/>
                              <w:spacing w:before="0" w:after="0" w:line="240" w:lineRule="auto"/>
                            </w:pPr>
                            <w:r>
                              <w:rPr>
                                <w:rFonts w:ascii="Calibri" w:hAnsi="Calibri" w:eastAsia="Calibri" w:cs="Calibri"/>
                                <w:b w:val="0"/>
                                <w:bCs w:val="0"/>
                                <w:i/>
                                <w:iCs/>
                                <w:caps w:val="0"/>
                                <w:smallCaps w:val="0"/>
                                <w:strike w:val="0"/>
                                <w:color w:val="auto"/>
                                <w:spacing w:val="0"/>
                                <w:position w:val="0"/>
                                <w:sz w:val="18"/>
                                <w:szCs w:val="18"/>
                                <w:u w:val="none"/>
                                <w:vertAlign w:val="baseline"/>
                                <w:lang w:val="de-DE" w:eastAsia="en-US" w:bidi="ar-SA"/>
                              </w:rPr>
                              <w:t xml:space="preserve">Questa è una frase che enuncia  il personaggio non giocante ai giocatori che stanno per scuoiarlo vivo</w:t>
                            </w:r>
                            <w:r/>
                            <w:r/>
                          </w:p>
                        </w:txbxContent>
                      </wps:txbx>
                      <wps:bodyPr wrap="square" lIns="9360" tIns="9360" rIns="9360" bIns="9360"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5;o:allowoverlap:true;o:allowincell:true;mso-position-horizontal-relative:text;margin-left:22.0pt;mso-position-horizontal:absolute;mso-position-vertical-relative:text;margin-top:-2.4pt;mso-position-vertical:absolute;width:197.3pt;height:48.0pt;mso-wrap-distance-left:0.0pt;mso-wrap-distance-top:0.0pt;mso-wrap-distance-right:0.0pt;mso-wrap-distance-bottom:0.0pt;v-text-anchor:middle;visibility:visible;" fillcolor="#EC9BA4" strokecolor="#FF4000" strokeweight="1.50pt">
                <v:fill opacity="-33824f"/>
                <v:textbox inset="0,0,0,0">
                  <w:txbxContent>
                    <w:p>
                      <w:pPr>
                        <w:ind w:left="0" w:right="0" w:firstLine="0"/>
                        <w:jc w:val="center"/>
                        <w:spacing w:before="0" w:after="0" w:line="240" w:lineRule="auto"/>
                      </w:pPr>
                      <w:r>
                        <w:rPr>
                          <w:rFonts w:ascii="Calibri" w:hAnsi="Calibri" w:eastAsia="Calibri" w:cs="Calibri"/>
                          <w:b w:val="0"/>
                          <w:bCs w:val="0"/>
                          <w:i/>
                          <w:iCs/>
                          <w:caps w:val="0"/>
                          <w:smallCaps w:val="0"/>
                          <w:strike w:val="0"/>
                          <w:color w:val="auto"/>
                          <w:spacing w:val="0"/>
                          <w:position w:val="0"/>
                          <w:sz w:val="18"/>
                          <w:szCs w:val="18"/>
                          <w:u w:val="none"/>
                          <w:vertAlign w:val="baseline"/>
                          <w:lang w:val="de-DE" w:eastAsia="en-US" w:bidi="ar-SA"/>
                        </w:rPr>
                        <w:t xml:space="preserve">Questa è una frase che enuncia  il personaggio non giocante ai giocatori che stanno per scuoiarlo vivo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6"/>
      </w:pPr>
      <w:r/>
      <w:r>
        <w:rPr>
          <w:lang w:val="it-IT"/>
        </w:rPr>
        <w:t xml:space="preserve">Tabelle</w:t>
      </w:r>
      <w:r>
        <w:rPr>
          <w:lang w:val="it-IT"/>
        </w:rPr>
      </w:r>
      <w:r/>
    </w:p>
    <w:p>
      <w:pPr>
        <w:pStyle w:val="643"/>
      </w:pPr>
      <w:r>
        <w:rPr>
          <w:lang w:val="en-US"/>
        </w:rPr>
        <w:t xml:space="preserve">Utilizzare questo format per inserire qualsiasi tipo di tabelle. Copiare la tabella nella posizione desiderata e modificare il contenuto, le colonne e le righe a proprio piacimento.</w:t>
      </w:r>
      <w:r>
        <w:rPr>
          <w:lang w:val="en-US"/>
        </w:rPr>
      </w:r>
      <w:r/>
    </w:p>
    <w:p>
      <w:pPr>
        <w:pStyle w:val="643"/>
      </w:pPr>
      <w:r/>
      <w:r/>
      <w:r/>
    </w:p>
    <w:tbl>
      <w:tblPr>
        <w:tblW w:w="5000" w:type="pct"/>
        <w:tblInd w:w="108" w:type="dxa"/>
        <w:tblCellMar>
          <w:left w:w="108" w:type="dxa"/>
          <w:top w:w="57" w:type="dxa"/>
          <w:right w:w="108" w:type="dxa"/>
          <w:bottom w:w="57" w:type="dxa"/>
        </w:tblCellMar>
        <w:tblLook w:val="04A0" w:firstRow="1" w:lastRow="0" w:firstColumn="1" w:lastColumn="0" w:noHBand="0" w:noVBand="1"/>
      </w:tblPr>
      <w:tblGrid>
        <w:gridCol w:w="924"/>
        <w:gridCol w:w="4118"/>
      </w:tblGrid>
      <w:tr>
        <w:trPr/>
        <w:tc>
          <w:tcPr>
            <w:tcBorders>
              <w:bottom w:val="single" w:color="666666" w:sz="4" w:space="0"/>
            </w:tcBorders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d12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tcBorders>
              <w:bottom w:val="single" w:color="666666" w:sz="4" w:space="0"/>
            </w:tcBorders>
            <w:tcW w:w="4118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it-IT"/>
              </w:rPr>
            </w:pPr>
            <w:r>
              <w:rPr>
                <w:b/>
                <w:bCs/>
                <w:color w:val="000000"/>
                <w:szCs w:val="18"/>
                <w:lang w:val="it-IT"/>
              </w:rPr>
              <w:t xml:space="preserve">Incontro Casuale</w:t>
            </w:r>
            <w:r>
              <w:rPr>
                <w:b/>
                <w:bCs/>
                <w:color w:val="000000"/>
                <w:szCs w:val="18"/>
                <w:lang w:val="it-IT"/>
              </w:rPr>
            </w:r>
            <w:r/>
          </w:p>
        </w:tc>
      </w:tr>
      <w:tr>
        <w:trPr/>
        <w:tc>
          <w:tcPr>
            <w:shd w:val="clear" w:color="ffffff" w:fill="cccccc"/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1-4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shd w:val="clear" w:color="ffffff" w:fill="cccccc"/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3d6 bandits preparing an ambush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  <w:tr>
        <w:trPr/>
        <w:tc>
          <w:tcPr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5-7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A traveling merchant selling very expensive cheese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  <w:tr>
        <w:trPr/>
        <w:tc>
          <w:tcPr>
            <w:shd w:val="clear" w:color="ffffff" w:fill="cccccc"/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8-9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shd w:val="clear" w:color="ffffff" w:fill="cccccc"/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A party of travelers resting on the side of the road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  <w:tr>
        <w:trPr/>
        <w:tc>
          <w:tcPr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10-12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1d4 owlbears and 1d4 young owlbears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</w:tbl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L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a mappa(OBBLIGATORIO)</w:t>
      </w:r>
      <w:r/>
      <w:r/>
    </w:p>
    <w:p>
      <w:pPr>
        <w:pStyle w:val="643"/>
        <w:jc w:val="both"/>
      </w:pPr>
      <w:r>
        <w:rPr>
          <w:sz w:val="18"/>
          <w:lang w:val="en-US"/>
        </w:rPr>
        <w:t xml:space="preserve">Scrivere le indicazioni per la creazione della mappa con tutti gli elementi necessari alla trama. </w:t>
      </w:r>
      <w:r>
        <w:rPr>
          <w:sz w:val="18"/>
          <w:lang w:val="en-US"/>
        </w:rPr>
      </w:r>
      <w:r/>
    </w:p>
    <w:p>
      <w:pPr>
        <w:pStyle w:val="643"/>
        <w:jc w:val="both"/>
      </w:pPr>
      <w:r>
        <w:rPr>
          <w:sz w:val="18"/>
          <w:lang w:val="en-US"/>
        </w:rPr>
        <w:t xml:space="preserve">Se volete potete fare uno schizzo se presente un dungeon tipo questo:</w:t>
      </w:r>
      <w:r>
        <w:rPr>
          <w:sz w:val="18"/>
          <w:lang w:val="en-US"/>
        </w:rPr>
      </w:r>
      <w:r/>
    </w:p>
    <w:p>
      <w:pPr>
        <w:pStyle w:val="643"/>
        <w:jc w:val="both"/>
      </w:pPr>
      <w:r>
        <w:rPr>
          <w:sz w:val="1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2047875" cy="1675765"/>
                <wp:effectExtent l="0" t="0" r="0" b="0"/>
                <wp:wrapSquare wrapText="bothSides"/>
                <wp:docPr id="4" name="Immagin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5056716" name="Immagin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047874" cy="1675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position:absolute;z-index:2;o:allowoverlap:true;o:allowincell:true;mso-position-horizontal-relative:text;mso-position-horizontal:center;mso-position-vertical-relative:text;margin-top:0.0pt;mso-position-vertical:absolute;width:161.2pt;height:131.9pt;mso-wrap-distance-left:0.0pt;mso-wrap-distance-top:0.0pt;mso-wrap-distance-right:0.0pt;mso-wrap-distance-bottom:0.0pt;" stroked="false">
                <v:path textboxrect="0,0,0,0"/>
                <w10:wrap type="square"/>
                <v:imagedata r:id="rId13" o:title=""/>
              </v:shape>
            </w:pict>
          </mc:Fallback>
        </mc:AlternateContent>
      </w:r>
      <w:r>
        <w:rPr>
          <w:rFonts w:ascii="Merriweather" w:hAnsi="Merriweather"/>
          <w:sz w:val="18"/>
          <w:lang w:val="en-US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bCs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I png(OBBLIGATORIO)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jc w:val="both"/>
        <w:rPr>
          <w:highlight w:val="none"/>
        </w:rPr>
      </w:pPr>
      <w:r>
        <w:rPr>
          <w:sz w:val="18"/>
          <w:lang w:val="en-US"/>
        </w:rPr>
        <w:t xml:space="preserve">Scrivere quali Token sono presenti sulla Mappa .</w:t>
      </w:r>
      <w:r/>
      <w:r/>
      <w:r>
        <w:br w:type="page" w:clear="all"/>
      </w:r>
      <w:r/>
      <w:r/>
    </w:p>
    <w:p>
      <w:p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2" w:sep="0" w:space="709" w:equalWidth="1"/>
          <w:docGrid w:linePitch="360"/>
        </w:sectPr>
      </w:pPr>
      <w:r/>
    </w:p>
    <w:p>
      <w:pPr>
        <w:pStyle w:val="644"/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1" w:sep="0" w:space="709" w:equalWidth="1"/>
          <w:docGrid w:linePitch="360"/>
        </w:sectPr>
      </w:pPr>
      <w:r/>
      <w:bookmarkStart w:id="14" w:name="__RefHeading___Toc760_4111029746"/>
      <w:r/>
      <w:bookmarkStart w:id="15" w:name="_Toc483255994"/>
      <w:r/>
      <w:bookmarkEnd w:id="14"/>
      <w:r>
        <w:rPr>
          <w:rFonts w:eastAsia="Arial" w:cs="Arial"/>
          <w:smallCaps/>
          <w:color w:val="c00000"/>
          <w:sz w:val="72"/>
          <w:szCs w:val="72"/>
          <w:lang w:val="it-IT"/>
        </w:rPr>
        <w:t xml:space="preserve">C</w:t>
      </w:r>
      <w:bookmarkEnd w:id="15"/>
      <w:r>
        <w:rPr>
          <w:rFonts w:eastAsia="Arial" w:cs="Arial"/>
          <w:smallCaps/>
          <w:color w:val="c00000"/>
          <w:sz w:val="72"/>
          <w:szCs w:val="72"/>
          <w:lang w:val="it-IT"/>
        </w:rPr>
        <w:t xml:space="preserve">ap 1:il villaggio di Ravenwood</w:t>
      </w:r>
      <w:r/>
    </w:p>
    <w:p>
      <w:p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2" w:sep="0" w:space="709" w:equalWidth="1"/>
          <w:docGrid w:linePitch="360"/>
        </w:sectPr>
      </w:pPr>
      <w:r/>
      <w:r/>
    </w:p>
    <w:p>
      <w:pPr>
        <w:pStyle w:val="646"/>
      </w:pPr>
      <w:r/>
      <w:r>
        <w:rPr>
          <w:lang w:val="it-IT"/>
        </w:rPr>
        <w:t xml:space="preserve">Iniziare l’avventura</w:t>
      </w:r>
      <w:r/>
      <w:r/>
    </w:p>
    <w:p>
      <w:pPr>
        <w:pStyle w:val="643"/>
        <w:jc w:val="both"/>
      </w:pPr>
      <w:r>
        <w:rPr>
          <w:lang w:val="en-US"/>
        </w:rPr>
        <w:t xml:space="preserve">Mentre i giocatori viaggiano per altri motivi tra Rocca di Gor e l'accampamento,  sulla strada battuta si imbattono in un carro trainato da due cavalli(simil farwest quindi coperto) fermo in mezzo alla strada.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  </w:t>
      </w:r>
      <w:r>
        <w:rPr>
          <w:lang w:val="en-US"/>
        </w:rPr>
        <w:t xml:space="preserve">A terra giace una guardia mercenaria morta in un lago di sangue .</w:t>
      </w:r>
      <w:r>
        <w:rPr>
          <w:lang w:val="en-US"/>
        </w:rPr>
        <w:t xml:space="preserve"> A fianco del carro un uomo con le mani alzate è vistosamente spaventato mentre due banditi con il volto coperto minacciano uno storpio gobbo ben vestito . Un terzo bandito sta rovistando nel carro buttando dal retro le mercanzie ritenute di scarso valore.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I</w:t>
      </w:r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 banditi</w:t>
      </w:r>
      <w:r/>
      <w:r/>
    </w:p>
    <w:p>
      <w:pPr>
        <w:pStyle w:val="643"/>
        <w:jc w:val="both"/>
      </w:pPr>
      <w:r>
        <w:rPr>
          <w:lang w:val="en-US"/>
        </w:rPr>
        <w:t xml:space="preserve">I banditi stanno cercando delle fiale di </w:t>
      </w:r>
      <w:r>
        <w:rPr>
          <w:lang w:val="en-US"/>
        </w:rPr>
        <w:t xml:space="preserve">Sangue Amaro</w:t>
      </w:r>
      <w:r>
        <w:rPr>
          <w:lang w:val="en-US"/>
        </w:rPr>
        <w:t xml:space="preserve"> (quello che si usa per creare torce); appena vedono i giocatori reagiscono uccidendo il gobbo(era già in fin di vita) e caricando i giocatori.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Se I Giocatori trovano il modo di salvare il gobbo, egli ritornerà nel capitolo 3 per aiutarli nella quest “un fratello con un problema di alcol”.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Il bandito dentro al carro fa finta di non esserci finchè non capisce se il combattimento svolge in</w:t>
      </w:r>
      <w:r>
        <w:rPr>
          <w:lang w:val="en-US"/>
        </w:rPr>
        <w:t xml:space="preserve"> loro favore(allora si unisce ai suoi compari) oppure no (scappa nella foresta). Se i giocatori interrogano i banditi vengono a conoscenza dell'utilizzo del sangue amaro e della sua rarità. In ogni caso il mercante lo avrebbe spiegato terminato lo scontro.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R</w:t>
      </w:r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icompensa</w:t>
      </w:r>
      <w:r/>
      <w:r/>
    </w:p>
    <w:p>
      <w:pPr>
        <w:pStyle w:val="643"/>
        <w:jc w:val="both"/>
      </w:pPr>
      <w:r>
        <w:rPr>
          <w:lang w:val="en-US"/>
        </w:rPr>
        <w:t xml:space="preserve">Il mercante si presenta come Ethes Atclif, un membro della Gilda dei Mercanti , coloro che dovrebbero rendere sicure e frequentabili le strade e ringrazia i giocatori che lo hanno salvato con queste parole: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-31115</wp:posOffset>
                </wp:positionV>
                <wp:extent cx="2505710" cy="610235"/>
                <wp:effectExtent l="0" t="0" r="0" b="0"/>
                <wp:wrapNone/>
                <wp:docPr id="5" name="Forma5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505240" cy="609480"/>
                        </a:xfrm>
                        <a:prstGeom prst="rect">
                          <a:avLst/>
                        </a:prstGeom>
                        <a:solidFill>
                          <a:srgbClr val="EC9BA4">
                            <a:alpha val="52000"/>
                          </a:srgbClr>
                        </a:solidFill>
                        <a:ln w="19080">
                          <a:solidFill>
                            <a:srgbClr val="FF4000">
                              <a:alpha val="40000"/>
                            </a:srgbClr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ind w:left="0" w:right="0" w:firstLine="0"/>
                              <w:jc w:val="center"/>
                              <w:spacing w:before="0" w:after="0" w:line="240" w:lineRule="auto"/>
                            </w:pPr>
                            <w:r>
                              <w:rPr>
                                <w:rFonts w:ascii="Calibri" w:hAnsi="Calibri" w:eastAsia="Calibri" w:cs="Calibri"/>
                                <w:b w:val="0"/>
                                <w:bCs w:val="0"/>
                                <w:i/>
                                <w:iCs/>
                                <w:caps w:val="0"/>
                                <w:smallCaps w:val="0"/>
                                <w:strike w:val="0"/>
                                <w:color w:val="auto"/>
                                <w:spacing w:val="0"/>
                                <w:position w:val="0"/>
                                <w:sz w:val="18"/>
                                <w:szCs w:val="18"/>
                                <w:u w:val="none"/>
                                <w:vertAlign w:val="baseline"/>
                                <w:lang w:val="de-DE" w:eastAsia="en-US" w:bidi="ar-SA"/>
                              </w:rPr>
                              <w:t xml:space="preserve">Questa è una frase che enuncia  il personaggio non giocante ai giocatori che stanno per scuoiarlo vivo</w:t>
                            </w:r>
                            <w:r/>
                            <w:r/>
                          </w:p>
                        </w:txbxContent>
                      </wps:txbx>
                      <wps:bodyPr wrap="square" lIns="9360" tIns="9360" rIns="9360" bIns="9360"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202" type="#_x0000_t202" style="position:absolute;z-index:6;o:allowoverlap:true;o:allowincell:true;mso-position-horizontal-relative:text;margin-left:22.0pt;mso-position-horizontal:absolute;mso-position-vertical-relative:text;margin-top:-2.4pt;mso-position-vertical:absolute;width:197.3pt;height:48.0pt;mso-wrap-distance-left:0.0pt;mso-wrap-distance-top:0.0pt;mso-wrap-distance-right:0.0pt;mso-wrap-distance-bottom:0.0pt;v-text-anchor:middle;visibility:visible;" fillcolor="#EC9BA4" strokecolor="#FF4000" strokeweight="1.50pt">
                <v:fill opacity="-33824f"/>
                <v:textbox inset="0,0,0,0">
                  <w:txbxContent>
                    <w:p>
                      <w:pPr>
                        <w:ind w:left="0" w:right="0" w:firstLine="0"/>
                        <w:jc w:val="center"/>
                        <w:spacing w:before="0" w:after="0" w:line="240" w:lineRule="auto"/>
                      </w:pPr>
                      <w:r>
                        <w:rPr>
                          <w:rFonts w:ascii="Calibri" w:hAnsi="Calibri" w:eastAsia="Calibri" w:cs="Calibri"/>
                          <w:b w:val="0"/>
                          <w:bCs w:val="0"/>
                          <w:i/>
                          <w:iCs/>
                          <w:caps w:val="0"/>
                          <w:smallCaps w:val="0"/>
                          <w:strike w:val="0"/>
                          <w:color w:val="auto"/>
                          <w:spacing w:val="0"/>
                          <w:position w:val="0"/>
                          <w:sz w:val="18"/>
                          <w:szCs w:val="18"/>
                          <w:u w:val="none"/>
                          <w:vertAlign w:val="baseline"/>
                          <w:lang w:val="de-DE" w:eastAsia="en-US" w:bidi="ar-SA"/>
                        </w:rPr>
                        <w:t xml:space="preserve">Questa è una frase che enuncia  il personaggio non giocante ai giocatori che stanno per scuoiarlo vivo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Estrae dal carro un bauletto e conesgna ai PG 18 MO e una lesser thunderstone. Spiega che I banditi si fanno ogni giorno più s</w:t>
      </w:r>
      <w:r>
        <w:rPr>
          <w:lang w:val="en-US"/>
        </w:rPr>
        <w:t xml:space="preserve">caltri e agguerriti per recuperare anche poche fiale di Sangue Amaro. Ricorda che il Sangue amaro è usato nelle torce e negli incantesimi per proteggersi e vedere nella nebbia che attanaglia Romilia ma che nasconde anche immense ricchezze nelle sue rovine.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L</w:t>
      </w:r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a proposta del Mercante</w:t>
      </w:r>
      <w:r/>
      <w:r/>
    </w:p>
    <w:p>
      <w:pPr>
        <w:pStyle w:val="643"/>
        <w:jc w:val="both"/>
      </w:pPr>
      <w:r>
        <w:rPr>
          <w:lang w:val="en-US"/>
        </w:rPr>
        <w:t xml:space="preserve">Inoltre il mercante propone ai pg una quest: completare la ricerca di personale per la carovana mercantile che da Rocca di Gor arriva a XXXXX.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w:t xml:space="preserve">  </w:t>
      </w:r>
      <w:r>
        <w:rPr>
          <w:lang w:val="en-US"/>
        </w:rPr>
        <w:t xml:space="preserve">Al mercante servono due cartografi e due archeologi entro 2 settimane. Vi chiede di andare nelle rispettive Gilde a cercare il personale di cui abbisogna.  </w:t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L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a mappa</w:t>
      </w:r>
      <w:r/>
      <w:r/>
    </w:p>
    <w:p>
      <w:pPr>
        <w:pStyle w:val="643"/>
        <w:jc w:val="both"/>
      </w:pPr>
      <w:r>
        <w:rPr>
          <w:lang w:val="en-US"/>
        </w:rPr>
        <w:t xml:space="preserve">Strada tra rocca di Gor e accampamento, il fiume poco distante . pieno Giorno. un carro con due cavalli  e una guardia mercenaria morta al fianco.</w:t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I png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3"/>
        <w:jc w:val="both"/>
        <w:rPr>
          <w:rFonts w:eastAsia="Arial" w:cs="Arial"/>
          <w:b/>
          <w:bCs/>
          <w:smallCaps/>
          <w:color w:val="000000"/>
          <w:sz w:val="28"/>
          <w:szCs w:val="28"/>
          <w:lang w:val="it-IT"/>
        </w:rPr>
      </w:pPr>
      <w:r>
        <w:rPr>
          <w:lang w:val="en-US"/>
        </w:rPr>
        <w:t xml:space="preserve">1 mercante umano, un aiutante del mercante gobbo. 3 weak bandit in procinto di scuoiare il gobbo e rubare le mercanzie .</w:t>
      </w:r>
      <w:r>
        <w:rPr>
          <w:lang w:val="en-US"/>
        </w:rPr>
      </w:r>
      <w:r/>
    </w:p>
    <w:p>
      <w:pPr>
        <w:jc w:val="both"/>
        <w:rPr>
          <w:highlight w:val="none"/>
          <w:lang w:val="en-US"/>
        </w:rPr>
      </w:pPr>
      <w:r>
        <w:rPr>
          <w:highlight w:val="none"/>
          <w:lang w:val="en-US"/>
        </w:rPr>
      </w:r>
      <w:r/>
    </w:p>
    <w:p>
      <w:pPr>
        <w:jc w:val="both"/>
        <w:rPr>
          <w:lang w:val="en-US"/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jc w:val="both"/>
        <w:rPr>
          <w:lang w:val="en-US"/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jc w:val="both"/>
        <w:rPr>
          <w:lang w:val="en-US"/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jc w:val="both"/>
        <w:rPr>
          <w:lang w:val="en-US"/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jc w:val="both"/>
        <w:rPr>
          <w:lang w:val="en-US"/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jc w:val="both"/>
        <w:rPr>
          <w:lang w:val="en-US"/>
          <w14:ligatures w14:val="none"/>
        </w:r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2" w:sep="0" w:space="709" w:equalWidth="1"/>
          <w:docGrid w:linePitch="360"/>
        </w:sectPr>
      </w:pPr>
      <w:r>
        <w:rPr>
          <w:lang w:val="en-US"/>
        </w:rPr>
      </w:r>
      <w:r>
        <w:rPr>
          <w:lang w:val="en-US"/>
        </w:rPr>
      </w:r>
    </w:p>
    <w:p>
      <w:pPr>
        <w:jc w:val="both"/>
        <w:rPr>
          <w:lang w:val="en-US"/>
          <w14:ligatures w14:val="none"/>
        </w:rPr>
      </w:pPr>
      <w:r>
        <w:rPr>
          <w:lang w:val="en-US"/>
        </w:rPr>
      </w:r>
      <w:r>
        <w:rPr>
          <w:lang w:val="en-US"/>
        </w:rPr>
      </w:r>
    </w:p>
    <w:p>
      <w:pPr>
        <w:rPr>
          <w:highlight w:val="none"/>
          <w:lang w:val="it-IT"/>
          <w14:ligatures w14:val="none"/>
        </w:rPr>
      </w:pPr>
      <w:r>
        <w:rPr>
          <w:highlight w:val="none"/>
          <w:lang w:val="it-IT"/>
        </w:rPr>
      </w:r>
      <w:r>
        <w:rPr>
          <w:highlight w:val="none"/>
          <w:lang w:val="it-IT"/>
        </w:rPr>
      </w:r>
    </w:p>
    <w:p>
      <w:pPr>
        <w:rPr>
          <w:highlight w:val="none"/>
          <w:lang w:val="it-IT"/>
          <w14:ligatures w14:val="none"/>
        </w:rPr>
      </w:pPr>
      <w:r>
        <w:rPr>
          <w:highlight w:val="none"/>
          <w:lang w:val="it-IT"/>
        </w:rPr>
      </w:r>
      <w:r>
        <w:rPr>
          <w:highlight w:val="none"/>
          <w:lang w:val="it-IT"/>
        </w:rPr>
      </w:r>
    </w:p>
    <w:p>
      <w:pPr>
        <w:rPr>
          <w:rFonts w:eastAsia="Arial" w:cs="Arial"/>
          <w:smallCaps/>
          <w:color w:val="c00000"/>
          <w:sz w:val="72"/>
          <w:szCs w:val="72"/>
          <w:highlight w:val="none"/>
          <w:lang w:val="it-IT"/>
        </w:rPr>
      </w:pPr>
      <w:r>
        <w:rPr>
          <w:rFonts w:eastAsia="Arial" w:cs="Arial"/>
          <w:smallCaps/>
          <w:color w:val="c00000"/>
          <w:sz w:val="72"/>
          <w:szCs w:val="72"/>
          <w:highlight w:val="none"/>
          <w:lang w:val="it-IT"/>
        </w:rPr>
      </w:r>
      <w:r>
        <w:rPr>
          <w:rFonts w:eastAsia="Arial" w:cs="Arial"/>
          <w:smallCaps/>
          <w:color w:val="c00000"/>
          <w:sz w:val="72"/>
          <w:szCs w:val="72"/>
          <w:highlight w:val="none"/>
          <w:lang w:val="it-IT"/>
        </w:rPr>
      </w:r>
    </w:p>
    <w:p>
      <w:pPr>
        <w:pStyle w:val="644"/>
        <w:rPr>
          <w:rFonts w:eastAsia="Arial" w:cs="Arial"/>
          <w:smallCaps/>
          <w:color w:val="c00000"/>
          <w:sz w:val="72"/>
          <w:szCs w:val="72"/>
          <w:highlight w:val="none"/>
          <w:lang w:val="it-IT"/>
        </w:rPr>
      </w:pPr>
      <w:r/>
      <w:r>
        <w:rPr>
          <w:rFonts w:eastAsia="Arial" w:cs="Arial"/>
          <w:smallCaps/>
          <w:color w:val="c00000"/>
          <w:sz w:val="72"/>
          <w:szCs w:val="72"/>
          <w:lang w:val="it-IT"/>
        </w:rPr>
        <w:t xml:space="preserve">C</w:t>
      </w:r>
      <w:r>
        <w:rPr>
          <w:rFonts w:eastAsia="Arial" w:cs="Arial"/>
          <w:smallCaps/>
          <w:color w:val="c00000"/>
          <w:sz w:val="72"/>
          <w:szCs w:val="72"/>
          <w:lang w:val="it-IT"/>
        </w:rPr>
        <w:t xml:space="preserve">apitolo 1(Esempio)</w:t>
      </w:r>
      <w:r/>
      <w:r/>
    </w:p>
    <w:p>
      <w:r/>
      <w:r/>
    </w:p>
    <w:p>
      <w:p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1" w:sep="0" w:space="1701" w:equalWidth="1"/>
          <w:docGrid w:linePitch="360"/>
        </w:sectPr>
      </w:pPr>
      <w:r/>
      <w:r/>
      <w:r/>
    </w:p>
    <w:p>
      <w:pPr>
        <w:pStyle w:val="645"/>
      </w:pPr>
      <w:r/>
      <w:r>
        <w:t xml:space="preserve">Sulla strada</w:t>
      </w:r>
      <w:r/>
      <w:r/>
    </w:p>
    <w:p>
      <w:pPr>
        <w:pStyle w:val="643"/>
        <w:jc w:val="both"/>
      </w:pPr>
      <w:r>
        <w:rPr>
          <w:lang w:val="en-US"/>
        </w:rPr>
        <w:t xml:space="preserve">L’aggancio di partenza di questa avventura avviene durante il tragitto che I giocatori fanno tra la città di Gor e l’accampamento dei cacciatori poco distante(5 km) a Nord-Est.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S</w:t>
      </w:r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ulla strada</w:t>
      </w:r>
      <w:r/>
      <w:r/>
    </w:p>
    <w:p>
      <w:pPr>
        <w:pStyle w:val="643"/>
        <w:jc w:val="both"/>
      </w:pPr>
      <w:r>
        <w:rPr>
          <w:lang w:val="en-US"/>
        </w:rPr>
        <w:t xml:space="preserve">Mentre i giocatori viaggiano per altri motivi tra Rocca di Gor e l'accampamento,  sulla strada battuta si imbattono in un carro trainato da due cavalli(simil farwest quindi coperto) fermo in mezzo alla strada.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  </w:t>
      </w:r>
      <w:r>
        <w:rPr>
          <w:lang w:val="en-US"/>
        </w:rPr>
        <w:t xml:space="preserve">A terra giace una guardia mercenaria morta in un lago di sangue .</w:t>
      </w:r>
      <w:r>
        <w:rPr>
          <w:lang w:val="en-US"/>
        </w:rPr>
        <w:t xml:space="preserve"> A fianco del carro un uomo con le mani alzate è vistosamente spaventato mentre due banditi con il volto coperto minacciano uno storpio gobbo ben vestito . Un terzo bandito sta rovistando nel carro buttando dal retro le mercanzie ritenute di scarso valore.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I</w:t>
      </w:r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 banditi</w:t>
      </w:r>
      <w:r/>
      <w:r/>
    </w:p>
    <w:p>
      <w:pPr>
        <w:pStyle w:val="643"/>
        <w:jc w:val="both"/>
      </w:pPr>
      <w:r>
        <w:rPr>
          <w:lang w:val="en-US"/>
        </w:rPr>
        <w:t xml:space="preserve">I banditi stanno cercando delle fiale di </w:t>
      </w:r>
      <w:r>
        <w:rPr>
          <w:lang w:val="en-US"/>
        </w:rPr>
        <w:t xml:space="preserve">Sangue Amaro</w:t>
      </w:r>
      <w:r>
        <w:rPr>
          <w:lang w:val="en-US"/>
        </w:rPr>
        <w:t xml:space="preserve"> (quello che si usa per creare torce); appena vedono i giocatori reagiscono uccidendo il gobbo(era già in fin di vita) e caricando i giocatori.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Se I Giocatori trovano il modo di salvare il gobbo, egli ritornerà nel capitolo 3 per aiutarli nella quest “un fratello con un problema di alcol”.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Il bandito dentro al carro fa finta di non esserci finchè non capisce se il combattimento svolge in</w:t>
      </w:r>
      <w:r>
        <w:rPr>
          <w:lang w:val="en-US"/>
        </w:rPr>
        <w:t xml:space="preserve"> loro favore(allora si unisce ai suoi compari) oppure no (scappa nella foresta). Se i giocatori interrogano i banditi vengono a conoscenza dell'utilizzo del sangue amaro e della sua rarità. In ogni caso il mercante lo avrebbe spiegato terminato lo scontro.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R</w:t>
      </w:r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icompensa</w:t>
      </w:r>
      <w:r/>
      <w:r/>
    </w:p>
    <w:p>
      <w:pPr>
        <w:pStyle w:val="643"/>
        <w:jc w:val="both"/>
      </w:pPr>
      <w:r>
        <w:rPr>
          <w:lang w:val="en-US"/>
        </w:rPr>
        <w:t xml:space="preserve">Il mercante si presenta come Ethes Atclif, un membro della Gilda dei Mercanti , coloro che dovrebbero rendere sicure e frequentabili le strade e ringrazia i giocatori che lo hanno salvato con queste parole: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-31115</wp:posOffset>
                </wp:positionV>
                <wp:extent cx="2505710" cy="610235"/>
                <wp:effectExtent l="0" t="0" r="0" b="0"/>
                <wp:wrapNone/>
                <wp:docPr id="6" name="Forma5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505240" cy="609480"/>
                        </a:xfrm>
                        <a:prstGeom prst="rect">
                          <a:avLst/>
                        </a:prstGeom>
                        <a:solidFill>
                          <a:srgbClr val="EC9BA4">
                            <a:alpha val="52000"/>
                          </a:srgbClr>
                        </a:solidFill>
                        <a:ln w="19080">
                          <a:solidFill>
                            <a:srgbClr val="FF4000">
                              <a:alpha val="40000"/>
                            </a:srgbClr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ind w:left="0" w:right="0" w:firstLine="0"/>
                              <w:jc w:val="center"/>
                              <w:spacing w:before="0" w:after="0" w:line="240" w:lineRule="auto"/>
                            </w:pPr>
                            <w:r>
                              <w:rPr>
                                <w:rFonts w:ascii="Calibri" w:hAnsi="Calibri" w:eastAsia="Calibri" w:cs="Calibri"/>
                                <w:b w:val="0"/>
                                <w:bCs w:val="0"/>
                                <w:i/>
                                <w:iCs/>
                                <w:caps w:val="0"/>
                                <w:smallCaps w:val="0"/>
                                <w:strike w:val="0"/>
                                <w:color w:val="auto"/>
                                <w:spacing w:val="0"/>
                                <w:position w:val="0"/>
                                <w:sz w:val="18"/>
                                <w:szCs w:val="18"/>
                                <w:u w:val="none"/>
                                <w:vertAlign w:val="baseline"/>
                                <w:lang w:val="de-DE" w:eastAsia="en-US" w:bidi="ar-SA"/>
                              </w:rPr>
                              <w:t xml:space="preserve">Questa è una frase che enuncia  il personaggio non giocante ai giocatori che stanno per scuoiarlo vivo</w:t>
                            </w:r>
                            <w:r/>
                            <w:r/>
                          </w:p>
                        </w:txbxContent>
                      </wps:txbx>
                      <wps:bodyPr wrap="square" lIns="9360" tIns="9360" rIns="9360" bIns="9360"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6;o:allowoverlap:true;o:allowincell:true;mso-position-horizontal-relative:text;margin-left:22.0pt;mso-position-horizontal:absolute;mso-position-vertical-relative:text;margin-top:-2.4pt;mso-position-vertical:absolute;width:197.3pt;height:48.0pt;mso-wrap-distance-left:0.0pt;mso-wrap-distance-top:0.0pt;mso-wrap-distance-right:0.0pt;mso-wrap-distance-bottom:0.0pt;v-text-anchor:middle;visibility:visible;" fillcolor="#EC9BA4" strokecolor="#FF4000" strokeweight="1.50pt">
                <v:fill opacity="-33824f"/>
                <v:textbox inset="0,0,0,0">
                  <w:txbxContent>
                    <w:p>
                      <w:pPr>
                        <w:ind w:left="0" w:right="0" w:firstLine="0"/>
                        <w:jc w:val="center"/>
                        <w:spacing w:before="0" w:after="0" w:line="240" w:lineRule="auto"/>
                      </w:pPr>
                      <w:r>
                        <w:rPr>
                          <w:rFonts w:ascii="Calibri" w:hAnsi="Calibri" w:eastAsia="Calibri" w:cs="Calibri"/>
                          <w:b w:val="0"/>
                          <w:bCs w:val="0"/>
                          <w:i/>
                          <w:iCs/>
                          <w:caps w:val="0"/>
                          <w:smallCaps w:val="0"/>
                          <w:strike w:val="0"/>
                          <w:color w:val="auto"/>
                          <w:spacing w:val="0"/>
                          <w:position w:val="0"/>
                          <w:sz w:val="18"/>
                          <w:szCs w:val="18"/>
                          <w:u w:val="none"/>
                          <w:vertAlign w:val="baseline"/>
                          <w:lang w:val="de-DE" w:eastAsia="en-US" w:bidi="ar-SA"/>
                        </w:rPr>
                        <w:t xml:space="preserve">Questa è una frase che enuncia  il personaggio non giocante ai giocatori che stanno per scuoiarlo vivo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Estrae dal carro un bauletto e conesgna ai PG 18 MO e una lesser thunderstone. Spiega che I banditi si fanno ogni giorno più s</w:t>
      </w:r>
      <w:r>
        <w:rPr>
          <w:lang w:val="en-US"/>
        </w:rPr>
        <w:t xml:space="preserve">caltri e agguerriti per recuperare anche poche fiale di Sangue Amaro. Ricorda che il Sangue amaro è usato nelle torce e negli incantesimi per proteggersi e vedere nella nebbia che attanaglia Romilia ma che nasconde anche immense ricchezze nelle sue rovine.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L</w:t>
      </w:r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a proposta del Mercante</w:t>
      </w:r>
      <w:r/>
      <w:r/>
    </w:p>
    <w:p>
      <w:pPr>
        <w:pStyle w:val="643"/>
        <w:jc w:val="both"/>
      </w:pPr>
      <w:r>
        <w:rPr>
          <w:lang w:val="en-US"/>
        </w:rPr>
        <w:t xml:space="preserve">Inoltre il mercante propone ai pg una quest: completare la ricerca di personale per la carovana mercantile che da Rocca di Gor arriva a XXXXX.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w:t xml:space="preserve">  </w:t>
      </w:r>
      <w:r>
        <w:rPr>
          <w:lang w:val="en-US"/>
        </w:rPr>
        <w:t xml:space="preserve">Al mercante servono due cartografi e due archeologi entro 2 settimane. Vi chiede di andare nelle rispettive Gilde a cercare il personale di cui abbisogna.  </w:t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L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a mappa</w:t>
      </w:r>
      <w:r/>
      <w:r/>
    </w:p>
    <w:p>
      <w:pPr>
        <w:pStyle w:val="643"/>
        <w:jc w:val="both"/>
      </w:pPr>
      <w:r>
        <w:rPr>
          <w:lang w:val="en-US"/>
        </w:rPr>
        <w:t xml:space="preserve">Strada tra rocca di Gor e accampamento, il fiume poco distante . pieno Giorno. un carro con due cavalli  e una guardia mercenaria morta al fianco.</w:t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I png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3"/>
        <w:jc w:val="both"/>
      </w:pPr>
      <w:r>
        <w:rPr>
          <w:lang w:val="en-US"/>
        </w:rPr>
        <w:t xml:space="preserve">1 mercante umano, un aiutante del mercante gobbo. 3 weak bandit in procinto di scuoiare il gobbo e rubare le mercanzie 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rPr>
          <w:rFonts w:eastAsia="Arial" w:cs="Arial"/>
          <w:b/>
          <w:bCs/>
          <w:smallCaps/>
          <w:color w:val="000000"/>
          <w:sz w:val="28"/>
          <w:szCs w:val="28"/>
          <w:lang w:val="en-US"/>
        </w:rPr>
      </w:pPr>
      <w:r>
        <w:rPr>
          <w:lang w:val="en-US"/>
        </w:rPr>
      </w:r>
      <w:r>
        <w:rPr>
          <w:lang w:val="en-US"/>
        </w:rPr>
      </w:r>
      <w:r/>
    </w:p>
    <w:p>
      <w:pPr>
        <w:spacing w:before="0" w:after="200"/>
      </w:pPr>
      <w:r/>
      <w:r/>
    </w:p>
    <w:p>
      <w:pPr>
        <w:spacing w:before="0" w:after="200"/>
      </w:pPr>
      <w:r/>
      <w:r/>
    </w:p>
    <w:p>
      <w:p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2" w:sep="0" w:space="454" w:equalWidth="1"/>
          <w:docGrid w:linePitch="360"/>
        </w:sectPr>
      </w:pPr>
      <w:r/>
    </w:p>
    <w:p>
      <w:pPr>
        <w:pStyle w:val="644"/>
        <w:rPr>
          <w:rFonts w:eastAsia="Arial" w:cs="Arial"/>
          <w:color w:val="c00000"/>
          <w:highlight w:val="none"/>
          <w:lang w:val="it-IT"/>
        </w:rPr>
        <w:sectPr>
          <w:footnotePr/>
          <w:endnotePr/>
          <w:type w:val="continuous"/>
          <w:pgSz w:w="12240" w:h="15800" w:orient="portrait"/>
          <w:pgMar w:top="851" w:right="851" w:bottom="851" w:left="851" w:header="709" w:footer="709" w:gutter="0"/>
          <w:cols w:num="1" w:sep="0" w:space="709" w:equalWidth="1"/>
          <w:docGrid w:linePitch="360"/>
        </w:sectPr>
      </w:pPr>
      <w:r/>
      <w:r>
        <w:rPr>
          <w:rFonts w:eastAsia="Arial" w:cs="Arial"/>
          <w:smallCaps/>
          <w:color w:val="c00000"/>
          <w:sz w:val="72"/>
          <w:szCs w:val="72"/>
          <w:lang w:val="it-IT"/>
        </w:rPr>
        <w:t xml:space="preserve">C</w:t>
      </w:r>
      <w:r>
        <w:rPr>
          <w:rFonts w:eastAsia="Arial" w:cs="Arial"/>
          <w:smallCaps/>
          <w:color w:val="c00000"/>
          <w:sz w:val="72"/>
          <w:szCs w:val="72"/>
          <w:lang w:val="it-IT"/>
        </w:rPr>
        <w:t xml:space="preserve">apitolo1(Esempio)</w:t>
      </w:r>
      <w:r>
        <w:rPr>
          <w:rFonts w:eastAsia="Arial" w:cs="Arial"/>
          <w:smallCaps/>
          <w:color w:val="c00000"/>
          <w:sz w:val="72"/>
          <w:szCs w:val="72"/>
          <w:highlight w:val="none"/>
          <w:lang w:val="it-IT"/>
        </w:rPr>
      </w:r>
      <w:r/>
    </w:p>
    <w:p>
      <w:pPr>
        <w:pStyle w:val="645"/>
      </w:pPr>
      <w:r/>
      <w:r>
        <w:t xml:space="preserve">Sulla strada</w:t>
      </w:r>
      <w:r/>
      <w:r/>
    </w:p>
    <w:p>
      <w:pPr>
        <w:pStyle w:val="643"/>
        <w:jc w:val="both"/>
      </w:pPr>
      <w:r>
        <w:rPr>
          <w:lang w:val="en-US"/>
        </w:rPr>
        <w:t xml:space="preserve">L’aggancio di partenza di questa avventura avviene durante il tragitto che I giocatori fanno tra la città di Gor e l’accampamento dei cacciatori poco distante(5 km) a Nord-Est.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S</w:t>
      </w:r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ulla strada</w:t>
      </w:r>
      <w:r/>
      <w:r/>
    </w:p>
    <w:p>
      <w:pPr>
        <w:pStyle w:val="643"/>
        <w:jc w:val="both"/>
      </w:pPr>
      <w:r>
        <w:rPr>
          <w:lang w:val="en-US"/>
        </w:rPr>
        <w:t xml:space="preserve">Mentre i giocatori viaggiano per altri motivi tra Rocca di Gor e l'accampamento,  sulla strada battuta si imbattono in un carro trainato da due cavalli(simil farwest quindi coperto) fermo in mezzo alla strada.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  </w:t>
      </w:r>
      <w:r>
        <w:rPr>
          <w:lang w:val="en-US"/>
        </w:rPr>
        <w:t xml:space="preserve">A terra giace una guardia mercenaria morta in un lago di sangue .</w:t>
      </w:r>
      <w:r>
        <w:rPr>
          <w:lang w:val="en-US"/>
        </w:rPr>
        <w:t xml:space="preserve"> A fianco del carro un uomo con le mani alzate è vistosamente spaventato mentre due banditi con il volto coperto minacciano uno storpio gobbo ben vestito . Un terzo bandito sta rovistando nel carro buttando dal retro le mercanzie ritenute di scarso valore.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I</w:t>
      </w:r>
      <w:r>
        <w:rPr>
          <w:rFonts w:eastAsia="Arial" w:cs="Arial"/>
          <w:smallCaps/>
          <w:color w:val="000000"/>
          <w:sz w:val="36"/>
          <w:szCs w:val="36"/>
          <w:lang w:val="en-US"/>
        </w:rPr>
        <w:t xml:space="preserve"> banditi</w:t>
      </w:r>
      <w:r/>
      <w:r/>
    </w:p>
    <w:p>
      <w:pPr>
        <w:pStyle w:val="643"/>
        <w:jc w:val="both"/>
      </w:pPr>
      <w:r>
        <w:rPr>
          <w:lang w:val="en-US"/>
        </w:rPr>
        <w:t xml:space="preserve">I banditi stanno cercando delle fiale di </w:t>
      </w:r>
      <w:r>
        <w:rPr>
          <w:lang w:val="en-US"/>
        </w:rPr>
        <w:t xml:space="preserve">Sangue Amaro</w:t>
      </w:r>
      <w:r>
        <w:rPr>
          <w:lang w:val="en-US"/>
        </w:rPr>
        <w:t xml:space="preserve"> (quello che si usa per creare torce); appena vedono i giocatori reagiscono uccidendo il gobbo(era già in fin di vita) e caricando i giocatori.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Se I Giocatori trovano il modo di salvare il gobbo, egli ritornerà nel capitolo 3 per aiutarli nella quest “un fratello con un problema di alcol”.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Il bandito dentro al carro fa finta di non esserci finchè non capisce se il combattimento svolge in</w:t>
      </w:r>
      <w:r>
        <w:rPr>
          <w:lang w:val="en-US"/>
        </w:rPr>
        <w:t xml:space="preserve"> loro favore(allora si unisce ai suoi compari) oppure no (scappa nella foresta). Se i giocatori interrogano i banditi vengono a conoscenza dell'utilizzo del sangue amaro e della sua rarità. In ogni caso il mercante lo avrebbe spiegato terminato lo scontro.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R</w:t>
      </w:r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icompensa</w:t>
      </w:r>
      <w:r/>
      <w:r/>
    </w:p>
    <w:p>
      <w:pPr>
        <w:pStyle w:val="643"/>
        <w:jc w:val="both"/>
      </w:pPr>
      <w:r>
        <w:rPr>
          <w:lang w:val="en-US"/>
        </w:rPr>
        <w:t xml:space="preserve">Il mercante si presenta come Ethes Atclif, un membro della Gilda dei Mercanti , coloro che dovrebbero rendere sicure e frequentabili le strade e ringrazia i giocatori che lo hanno salvato con queste parole:</w: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-31115</wp:posOffset>
                </wp:positionV>
                <wp:extent cx="2505710" cy="610235"/>
                <wp:effectExtent l="0" t="0" r="0" b="0"/>
                <wp:wrapNone/>
                <wp:docPr id="7" name="Forma5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505240" cy="609480"/>
                        </a:xfrm>
                        <a:prstGeom prst="rect">
                          <a:avLst/>
                        </a:prstGeom>
                        <a:solidFill>
                          <a:srgbClr val="EC9BA4">
                            <a:alpha val="52000"/>
                          </a:srgbClr>
                        </a:solidFill>
                        <a:ln w="19080">
                          <a:solidFill>
                            <a:srgbClr val="FF4000">
                              <a:alpha val="40000"/>
                            </a:srgbClr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ind w:left="0" w:right="0" w:firstLine="0"/>
                              <w:jc w:val="center"/>
                              <w:spacing w:before="0" w:after="0" w:line="240" w:lineRule="auto"/>
                            </w:pPr>
                            <w:r>
                              <w:rPr>
                                <w:rFonts w:ascii="Calibri" w:hAnsi="Calibri" w:eastAsia="Calibri" w:cs="Calibri"/>
                                <w:b w:val="0"/>
                                <w:bCs w:val="0"/>
                                <w:i/>
                                <w:iCs/>
                                <w:caps w:val="0"/>
                                <w:smallCaps w:val="0"/>
                                <w:strike w:val="0"/>
                                <w:color w:val="auto"/>
                                <w:spacing w:val="0"/>
                                <w:position w:val="0"/>
                                <w:sz w:val="18"/>
                                <w:szCs w:val="18"/>
                                <w:u w:val="none"/>
                                <w:vertAlign w:val="baseline"/>
                                <w:lang w:val="de-DE" w:eastAsia="en-US" w:bidi="ar-SA"/>
                              </w:rPr>
                              <w:t xml:space="preserve">Questa è una frase che enuncia  il personaggio non giocante ai giocatori che stanno per scuoiarlo vivo</w:t>
                            </w:r>
                            <w:r/>
                            <w:r/>
                          </w:p>
                        </w:txbxContent>
                      </wps:txbx>
                      <wps:bodyPr wrap="square" lIns="9360" tIns="9360" rIns="9360" bIns="9360"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202" type="#_x0000_t202" style="position:absolute;z-index:6;o:allowoverlap:true;o:allowincell:true;mso-position-horizontal-relative:text;margin-left:22.0pt;mso-position-horizontal:absolute;mso-position-vertical-relative:text;margin-top:-2.4pt;mso-position-vertical:absolute;width:197.3pt;height:48.0pt;mso-wrap-distance-left:0.0pt;mso-wrap-distance-top:0.0pt;mso-wrap-distance-right:0.0pt;mso-wrap-distance-bottom:0.0pt;v-text-anchor:middle;visibility:visible;" fillcolor="#EC9BA4" strokecolor="#FF4000" strokeweight="1.50pt">
                <v:fill opacity="-33824f"/>
                <v:textbox inset="0,0,0,0">
                  <w:txbxContent>
                    <w:p>
                      <w:pPr>
                        <w:ind w:left="0" w:right="0" w:firstLine="0"/>
                        <w:jc w:val="center"/>
                        <w:spacing w:before="0" w:after="0" w:line="240" w:lineRule="auto"/>
                      </w:pPr>
                      <w:r>
                        <w:rPr>
                          <w:rFonts w:ascii="Calibri" w:hAnsi="Calibri" w:eastAsia="Calibri" w:cs="Calibri"/>
                          <w:b w:val="0"/>
                          <w:bCs w:val="0"/>
                          <w:i/>
                          <w:iCs/>
                          <w:caps w:val="0"/>
                          <w:smallCaps w:val="0"/>
                          <w:strike w:val="0"/>
                          <w:color w:val="auto"/>
                          <w:spacing w:val="0"/>
                          <w:position w:val="0"/>
                          <w:sz w:val="18"/>
                          <w:szCs w:val="18"/>
                          <w:u w:val="none"/>
                          <w:vertAlign w:val="baseline"/>
                          <w:lang w:val="de-DE" w:eastAsia="en-US" w:bidi="ar-SA"/>
                        </w:rPr>
                        <w:t xml:space="preserve">Questa è una frase che enuncia  il personaggio non giocante ai giocatori che stanno per scuoiarlo vivo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  <w:jc w:val="both"/>
      </w:pPr>
      <w:r>
        <w:rPr>
          <w:lang w:val="en-US"/>
        </w:rPr>
        <w:t xml:space="preserve">Estrae dal carro un bauletto e conesgna ai PG 18 MO e una lesser thunderstone. Spiega che I banditi si fanno ogni giorno più s</w:t>
      </w:r>
      <w:r>
        <w:rPr>
          <w:lang w:val="en-US"/>
        </w:rPr>
        <w:t xml:space="preserve">caltri e agguerriti per recuperare anche poche fiale di Sangue Amaro. Ricorda che il Sangue amaro è usato nelle torce e negli incantesimi per proteggersi e vedere nella nebbia che attanaglia Romilia ma che nasconde anche immense ricchezze nelle sue rovine.</w:t>
      </w:r>
      <w:r>
        <w:rPr>
          <w:lang w:val="en-US"/>
        </w:rPr>
      </w:r>
      <w:r/>
    </w:p>
    <w:p>
      <w:pPr>
        <w:pStyle w:val="646"/>
      </w:pPr>
      <w:r/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L</w:t>
      </w:r>
      <w:r>
        <w:rPr>
          <w:rFonts w:eastAsia="Arial" w:cs="Arial"/>
          <w:smallCaps/>
          <w:color w:val="000000"/>
          <w:sz w:val="36"/>
          <w:szCs w:val="36"/>
          <w:lang w:val="it-IT"/>
        </w:rPr>
        <w:t xml:space="preserve">a proposta del Mercante</w:t>
      </w:r>
      <w:r/>
      <w:r/>
    </w:p>
    <w:p>
      <w:pPr>
        <w:pStyle w:val="643"/>
        <w:jc w:val="both"/>
      </w:pPr>
      <w:r>
        <w:rPr>
          <w:lang w:val="en-US"/>
        </w:rPr>
        <w:t xml:space="preserve">Inoltre il mercante propone ai pg una quest: completare la ricerca di personale per la carovana mercantile che da Rocca di Gor arriva a XXXXX.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w:t xml:space="preserve">  </w:t>
      </w:r>
      <w:r>
        <w:rPr>
          <w:lang w:val="en-US"/>
        </w:rPr>
        <w:t xml:space="preserve">Al mercante servono due cartografi e due archeologi entro 2 settimane. Vi chiede di andare nelle rispettive Gilde a cercare il personale di cui abbisogna.  </w:t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L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a mappa</w:t>
      </w:r>
      <w:r/>
      <w:r/>
    </w:p>
    <w:p>
      <w:pPr>
        <w:pStyle w:val="643"/>
        <w:jc w:val="both"/>
      </w:pPr>
      <w:r>
        <w:rPr>
          <w:lang w:val="en-US"/>
        </w:rPr>
        <w:t xml:space="preserve">Strada tra rocca di Gor e accampamento, il fiume poco distante . pieno Giorno. un carro con due cavalli  e una guardia mercenaria morta al fianco.</w:t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I png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3"/>
        <w:jc w:val="both"/>
      </w:pPr>
      <w:r>
        <w:rPr>
          <w:lang w:val="en-US"/>
        </w:rPr>
        <w:t xml:space="preserve">1 mercante umano, un aiutante del mercante gobbo. 3 weak bandit in procinto di scuoiare il gobbo e rubare le mercanzie 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rFonts w:eastAsia="Arial" w:cs="Arial"/>
          <w:b/>
          <w:bCs/>
          <w:smallCaps/>
          <w:color w:val="000000"/>
          <w:sz w:val="28"/>
          <w:szCs w:val="28"/>
          <w:lang w:val="en-US"/>
        </w:rPr>
      </w:r>
      <w:r/>
    </w:p>
    <w:p>
      <w:pPr>
        <w:spacing w:before="0" w:after="200"/>
        <w:rPr>
          <w:rFonts w:eastAsia="Arial" w:cs="Arial"/>
          <w:b/>
          <w:bCs/>
          <w:smallCaps/>
          <w:color w:val="000000"/>
          <w:sz w:val="28"/>
          <w:szCs w:val="28"/>
          <w:lang w:val="en-US"/>
        </w:rPr>
      </w:pPr>
      <w:r/>
      <w:r/>
      <w:r/>
    </w:p>
    <w:p>
      <w:pPr>
        <w:spacing w:before="0" w:after="200"/>
      </w:pPr>
      <w:r/>
      <w:r/>
    </w:p>
    <w:p>
      <w:pPr>
        <w:spacing w:before="0" w:after="200"/>
      </w:pPr>
      <w:r/>
      <w:r/>
    </w:p>
    <w:p>
      <w:pPr>
        <w:spacing w:before="0" w:after="200"/>
      </w:pPr>
      <w:r/>
      <w:r/>
    </w:p>
    <w:p>
      <w:pPr>
        <w:pStyle w:val="643"/>
      </w:pPr>
      <w:r>
        <w:rPr>
          <w:lang w:val="en-US"/>
        </w:rPr>
      </w:r>
      <w:r>
        <w:rPr>
          <w:lang w:val="en-US"/>
        </w:rPr>
        <w:t xml:space="preserve">Le miniere di Ravenswood erano un tempo una prospera fonte di ricchezza per il villaggio. Tuttavia, un terribile disastro si è verificato nelle profondità della miniera, causandone l'abbandono. </w:t>
      </w:r>
      <w:r>
        <w:rPr>
          <w:lang w:val="it-IT"/>
        </w:rPr>
        <w:t xml:space="preserve">A</w:t>
      </w:r>
      <w:r>
        <w:rPr>
          <w:lang w:val="en-US"/>
        </w:rPr>
        <w:t xml:space="preserve">bbandonata</w:t>
      </w:r>
      <w:r>
        <w:rPr>
          <w:lang w:val="it-IT"/>
        </w:rPr>
        <w:t xml:space="preserve"> p</w:t>
      </w:r>
      <w:r>
        <w:rPr>
          <w:lang w:val="en-US"/>
        </w:rPr>
        <w:t xml:space="preserve">er anni, la miniera è rimasta sigillata e gli abi</w:t>
      </w:r>
      <w:r>
        <w:rPr>
          <w:lang w:val="en-US"/>
        </w:rPr>
        <w:t xml:space="preserve">tanti del villaggio hanno imparato a evitarla. Tuttavia, di recente sono stati segnalati strani suoni e avvistamenti nella zona, e l'anziano del villaggio teme che la miniera sia stata riattivata da qualcosa di malvagio.</w:t>
      </w:r>
      <w:r>
        <w:rPr>
          <w:lang w:val="en-US"/>
        </w:rPr>
      </w:r>
      <w:r/>
    </w:p>
    <w:p>
      <w:pPr>
        <w:pStyle w:val="645"/>
      </w:pPr>
      <w:r/>
      <w:r>
        <w:t xml:space="preserve">Overview</w:t>
      </w:r>
      <w:r>
        <w:rPr>
          <w:lang w:val="it-IT"/>
        </w:rPr>
      </w:r>
      <w:r/>
    </w:p>
    <w:p>
      <w:pPr>
        <w:pStyle w:val="643"/>
      </w:pPr>
      <w:r>
        <w:rPr>
          <w:lang w:val="it-IT"/>
        </w:rPr>
      </w:r>
      <w:r>
        <w:rPr>
          <w:lang w:val="it-IT"/>
        </w:rPr>
        <w:t xml:space="preserve">I</w:t>
      </w:r>
      <w:r>
        <w:rPr>
          <w:lang w:val="it-IT"/>
        </w:rPr>
        <w:t xml:space="preserve">n "Terrore a Ravenswood", ai giocatori viene chiesto di indagare su una miniera abbandonata nelle vicinanze. Lungo il percorso, dovranno affrontare numerose sfide, tra cui creature pericolose, trappole ed enigmi sconvolgenti. L'obiettivo principale è sconf</w:t>
      </w:r>
      <w:r>
        <w:rPr>
          <w:lang w:val="it-IT"/>
        </w:rPr>
        <w:t xml:space="preserve">i</w:t>
      </w:r>
      <w:r>
        <w:rPr>
          <w:lang w:val="it-IT"/>
        </w:rPr>
        <w:t xml:space="preserve">ggere il potente signore della guerra goblin Grommok e recuperare un prezioso artefatto dalla camera finale della miniera. Tuttavia, i giocatori scoprono presto che alcuni vogliono l'artefatto per i loro scopi e devono decidere come gestire la situazione. </w:t>
      </w:r>
      <w:r>
        <w:rPr>
          <w:lang w:val="it-IT"/>
        </w:rPr>
        <w:t xml:space="preserve">L'avventura conduce i giocatori in un viaggio di scoperta, pericolo ed eroismo mentre esplorano i misteri di Ravenswood e scoprono la verità sull'artefatto e su coloro che lo cercano.</w:t>
      </w:r>
      <w:r>
        <w:rPr>
          <w:highlight w:val="none"/>
          <w:lang w:val="it-IT"/>
        </w:rPr>
      </w:r>
      <w:r/>
    </w:p>
    <w:p>
      <w:pPr>
        <w:pStyle w:val="645"/>
      </w:pPr>
      <w:r/>
      <w:r>
        <w:t xml:space="preserve">Adventure Hook</w:t>
      </w:r>
      <w:r>
        <w:rPr>
          <w:lang w:val="it-IT"/>
        </w:rPr>
      </w:r>
      <w:r/>
    </w:p>
    <w:p>
      <w:r>
        <w:rPr>
          <w:lang w:val="it-IT"/>
        </w:rPr>
      </w:r>
      <w:r>
        <w:rPr>
          <w:lang w:val="it-IT"/>
        </w:rPr>
        <w:t xml:space="preserve">I giocatori vengono avvicinati dall'anziano del villaggio, che chiede il loro aiuto per porre fine al terrore a Ravenswood. Ricompenseranno chiunque riesca ad avventurarsi nella miniera e sconfiggere Grommock il Potente</w:t>
      </w:r>
      <w:r>
        <w:rPr>
          <w:lang w:val="it-IT"/>
        </w:rPr>
        <w:t xml:space="preserve">. I giocatori possono anche essere attratti dal villaggio dalle voci su un un potente artefatto che si dice sia nascosto nella miniera.</w:t>
      </w:r>
      <w:r>
        <w:rPr>
          <w:highlight w:val="none"/>
          <w:lang w:val="it-IT"/>
        </w:rPr>
      </w:r>
      <w:r/>
    </w:p>
    <w:p>
      <w:pPr>
        <w:pStyle w:val="645"/>
      </w:pPr>
      <w:r/>
      <w:r>
        <w:t xml:space="preserve">Run the Adventure</w:t>
      </w:r>
      <w:r>
        <w:rPr>
          <w:lang w:val="it-IT"/>
        </w:rPr>
      </w:r>
      <w:r/>
    </w:p>
    <w:p>
      <w:r>
        <w:rPr>
          <w:lang w:val="it-IT"/>
        </w:rPr>
        <w:t xml:space="preserve">Prima di iniziare l'avventura:</w:t>
      </w:r>
      <w:r>
        <w:rPr>
          <w:lang w:val="it-IT"/>
        </w:rPr>
      </w:r>
      <w:r/>
    </w:p>
    <w:p>
      <w:pPr>
        <w:pStyle w:val="712"/>
        <w:numPr>
          <w:ilvl w:val="0"/>
          <w:numId w:val="4"/>
        </w:numPr>
      </w:pPr>
      <w:r>
        <w:rPr>
          <w:lang w:val="it-IT"/>
        </w:rPr>
        <w:t xml:space="preserve">Familiarizzare con lo sfondo e i personaggi PNG per migliorare il gioco di ruolo e rendere l'esperienza più coinvolgente.</w:t>
      </w:r>
      <w:r>
        <w:rPr>
          <w:lang w:val="it-IT"/>
        </w:rPr>
      </w:r>
      <w:r/>
    </w:p>
    <w:p>
      <w:pPr>
        <w:pStyle w:val="712"/>
        <w:numPr>
          <w:ilvl w:val="0"/>
          <w:numId w:val="4"/>
        </w:numPr>
      </w:pPr>
      <w:r>
        <w:rPr>
          <w:lang w:val="it-IT"/>
        </w:rPr>
        <w:t xml:space="preserve">Incoraggiare l'interazione del giocatore con i PNG per ottenere informazioni preziose. In questo caso, regolate la difficoltà in base al livello del giocatore e preparate la scena con un linguaggio descrittivo.</w:t>
      </w:r>
      <w:r>
        <w:rPr>
          <w:lang w:val="it-IT"/>
        </w:rPr>
      </w:r>
      <w:r/>
    </w:p>
    <w:p>
      <w:pPr>
        <w:pStyle w:val="712"/>
        <w:numPr>
          <w:ilvl w:val="0"/>
          <w:numId w:val="4"/>
        </w:numPr>
      </w:pPr>
      <w:r>
        <w:rPr>
          <w:lang w:val="it-IT"/>
        </w:rPr>
        <w:t xml:space="preserve">Siate pronti a improvvisare, se necessario.</w:t>
      </w:r>
      <w:r>
        <w:rPr>
          <w:lang w:val="it-IT"/>
        </w:rPr>
      </w:r>
      <w:r/>
    </w:p>
    <w:p>
      <w:r>
        <w:rPr>
          <w:lang w:val="it-IT"/>
        </w:rPr>
        <w:t xml:space="preserve">C</w:t>
      </w:r>
      <w:r>
        <w:rPr>
          <w:lang w:val="it-IT"/>
        </w:rPr>
        <w:t xml:space="preserve">ome GM, potreste dover modificare la trama se i giocatori vanno fuori dal copione o esplorano percorsi diversi. Siate pronti a fornire ai giocatori opportunità di riposo e guarigione tra una battaglia e l'altra. La cosa più importante è creare un'esperienz</w:t>
      </w:r>
      <w:r>
        <w:rPr>
          <w:lang w:val="it-IT"/>
        </w:rPr>
        <w:t xml:space="preserve">a divertente e coinvolgente per i giocatori, che li lasci desiderare di più.</w:t>
      </w:r>
      <w:r>
        <w:rPr>
          <w:lang w:val="it-IT"/>
        </w:rPr>
      </w:r>
      <w:r/>
    </w:p>
    <w:p>
      <w:r>
        <w:rPr>
          <w:highlight w:val="none"/>
          <w:lang w:val="it-IT"/>
        </w:rPr>
      </w:r>
      <w:r>
        <w:rPr>
          <w:lang w:val="it-IT"/>
        </w:rPr>
      </w:r>
      <w:r/>
    </w:p>
    <w:p>
      <w:pPr>
        <w:pStyle w:val="646"/>
      </w:pPr>
      <w:r/>
      <w:r>
        <w:t xml:space="preserve">Run the Adventure</w:t>
      </w:r>
      <w:r>
        <w:rPr>
          <w:lang w:val="it-IT"/>
        </w:rPr>
      </w:r>
      <w:r/>
    </w:p>
    <w:p>
      <w:pPr>
        <w:pStyle w:val="643"/>
      </w:pPr>
      <w:r>
        <w:rPr>
          <w:lang w:val="it-IT"/>
        </w:rPr>
        <w:t xml:space="preserve">Testata di secondo livello</w:t>
      </w:r>
      <w:r>
        <w:rPr>
          <w:lang w:val="it-IT"/>
        </w:rPr>
      </w:r>
      <w:r/>
    </w:p>
    <w:p>
      <w:pPr>
        <w:pStyle w:val="645"/>
      </w:pPr>
      <w:r/>
      <w:r>
        <w:rPr>
          <w:i/>
          <w:iCs/>
          <w:lang w:val="it-IT"/>
        </w:rPr>
        <w:t xml:space="preserve">Elementi di Testo</w:t>
      </w:r>
      <w:r>
        <w:rPr>
          <w:i/>
          <w:iCs/>
          <w:lang w:val="it-IT"/>
        </w:rPr>
      </w:r>
      <w:r/>
    </w:p>
    <w:p>
      <w:pPr>
        <w:pStyle w:val="643"/>
      </w:pPr>
      <w:r>
        <w:rPr>
          <w:lang w:val="en-US"/>
        </w:rPr>
        <w:t xml:space="preserve">Questi elementi di design possono essere utilizzati per rappresentare diverse informazioni. Copiate l'elemento in una posizione del testo e regolate le dimensioni e il testo in base alle vostre esigenze.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w:t xml:space="preserve">Un piccolo suggerimento: tutti questi elementi di design sono racchiusi in un contenitore. Per modificare il testo, probabilmente è necessario fare clic su di esso due volte.</w:t>
      </w:r>
      <w:r>
        <w:rPr>
          <w:lang w:val="en-US"/>
        </w:rPr>
      </w:r>
      <w:r/>
    </w:p>
    <w:p>
      <w:pPr>
        <w:pStyle w:val="646"/>
      </w:pPr>
      <w:r/>
      <w:r>
        <w:rPr>
          <w:lang w:val="it-IT"/>
        </w:rPr>
        <w:t xml:space="preserve">Box di Testo Formattati</w:t>
      </w:r>
      <w:r>
        <w:rPr>
          <w:lang w:val="it-IT"/>
        </w:rPr>
      </w:r>
      <w:r/>
    </w:p>
    <w:p>
      <w:pPr>
        <w:pStyle w:val="643"/>
      </w:pPr>
      <w:r>
        <w:rPr>
          <w:lang w:val="en-US"/>
        </w:rPr>
        <w:t xml:space="preserve">Utilizzate queste caselle per enfatizzare diversi contenuti, come le informazioni che alcuni personaggi conoscono o il testo che deve essere letto ai giocatori. </w: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279400</wp:posOffset>
                </wp:positionH>
                <wp:positionV relativeFrom="paragraph">
                  <wp:posOffset>-31115</wp:posOffset>
                </wp:positionV>
                <wp:extent cx="2505710" cy="610235"/>
                <wp:effectExtent l="0" t="0" r="0" b="0"/>
                <wp:wrapNone/>
                <wp:docPr id="8" name="Forma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505240" cy="609480"/>
                        </a:xfrm>
                        <a:prstGeom prst="rect">
                          <a:avLst/>
                        </a:prstGeom>
                        <a:solidFill>
                          <a:srgbClr val="EC9BA4">
                            <a:alpha val="52000"/>
                          </a:srgbClr>
                        </a:solidFill>
                        <a:ln w="19080">
                          <a:solidFill>
                            <a:srgbClr val="FF4000">
                              <a:alpha val="40000"/>
                            </a:srgbClr>
                          </a:solidFill>
                          <a:round/>
                        </a:ln>
                      </wps:spPr>
                      <wps:txbx>
                        <w:txbxContent>
                          <w:p>
                            <w:pPr>
                              <w:ind w:left="0" w:right="0" w:firstLine="0"/>
                              <w:jc w:val="center"/>
                              <w:spacing w:before="0" w:after="0" w:line="240" w:lineRule="auto"/>
                            </w:pPr>
                            <w:r>
                              <w:rPr>
                                <w:rFonts w:ascii="Calibri" w:hAnsi="Calibri" w:eastAsia="Calibri" w:cs="Calibri"/>
                                <w:b w:val="0"/>
                                <w:bCs w:val="0"/>
                                <w:i/>
                                <w:iCs/>
                                <w:caps w:val="0"/>
                                <w:smallCaps w:val="0"/>
                                <w:strike w:val="0"/>
                                <w:color w:val="auto"/>
                                <w:spacing w:val="0"/>
                                <w:position w:val="0"/>
                                <w:sz w:val="18"/>
                                <w:szCs w:val="18"/>
                                <w:u w:val="none"/>
                                <w:vertAlign w:val="baseline"/>
                                <w:lang w:val="de-DE" w:eastAsia="en-US" w:bidi="ar-SA"/>
                              </w:rPr>
                              <w:t xml:space="preserve">Questa è una frase che enuncia  il personaggio non giocante ai giocatori che stanno per scuoiarlo vivo</w:t>
                            </w:r>
                            <w:r/>
                            <w:r/>
                          </w:p>
                        </w:txbxContent>
                      </wps:txbx>
                      <wps:bodyPr wrap="square" lIns="9360" tIns="9360" rIns="9360" bIns="9360" anchor="ctr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5;o:allowoverlap:true;o:allowincell:true;mso-position-horizontal-relative:text;margin-left:22.0pt;mso-position-horizontal:absolute;mso-position-vertical-relative:text;margin-top:-2.4pt;mso-position-vertical:absolute;width:197.3pt;height:48.0pt;mso-wrap-distance-left:0.0pt;mso-wrap-distance-top:0.0pt;mso-wrap-distance-right:0.0pt;mso-wrap-distance-bottom:0.0pt;v-text-anchor:middle;visibility:visible;" fillcolor="#EC9BA4" strokecolor="#FF4000" strokeweight="1.50pt">
                <v:fill opacity="-33824f"/>
                <v:textbox inset="0,0,0,0">
                  <w:txbxContent>
                    <w:p>
                      <w:pPr>
                        <w:ind w:left="0" w:right="0" w:firstLine="0"/>
                        <w:jc w:val="center"/>
                        <w:spacing w:before="0" w:after="0" w:line="240" w:lineRule="auto"/>
                      </w:pPr>
                      <w:r>
                        <w:rPr>
                          <w:rFonts w:ascii="Calibri" w:hAnsi="Calibri" w:eastAsia="Calibri" w:cs="Calibri"/>
                          <w:b w:val="0"/>
                          <w:bCs w:val="0"/>
                          <w:i/>
                          <w:iCs/>
                          <w:caps w:val="0"/>
                          <w:smallCaps w:val="0"/>
                          <w:strike w:val="0"/>
                          <w:color w:val="auto"/>
                          <w:spacing w:val="0"/>
                          <w:position w:val="0"/>
                          <w:sz w:val="18"/>
                          <w:szCs w:val="18"/>
                          <w:u w:val="none"/>
                          <w:vertAlign w:val="baseline"/>
                          <w:lang w:val="de-DE" w:eastAsia="en-US" w:bidi="ar-SA"/>
                        </w:rPr>
                        <w:t xml:space="preserve">Questa è una frase che enuncia  il personaggio non giocante ai giocatori che stanno per scuoiarlo vivo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6"/>
      </w:pPr>
      <w:r/>
      <w:r>
        <w:rPr>
          <w:lang w:val="it-IT"/>
        </w:rPr>
        <w:t xml:space="preserve">Tabelle</w:t>
      </w:r>
      <w:r>
        <w:rPr>
          <w:lang w:val="it-IT"/>
        </w:rPr>
      </w:r>
      <w:r/>
    </w:p>
    <w:p>
      <w:pPr>
        <w:pStyle w:val="643"/>
      </w:pPr>
      <w:r>
        <w:rPr>
          <w:lang w:val="en-US"/>
        </w:rPr>
        <w:t xml:space="preserve">Utilizzare questo format per inserire qualsiasi tipo di tabelle. Copiare la tabella nella posizione desiderata e modificare il contenuto, le colonne e le righe a proprio piacimento.</w:t>
      </w:r>
      <w:r>
        <w:rPr>
          <w:lang w:val="en-US"/>
        </w:rPr>
      </w:r>
      <w:r/>
    </w:p>
    <w:p>
      <w:pPr>
        <w:pStyle w:val="643"/>
      </w:pPr>
      <w:r/>
      <w:r/>
      <w:r/>
    </w:p>
    <w:tbl>
      <w:tblPr>
        <w:tblW w:w="5000" w:type="pct"/>
        <w:tblInd w:w="108" w:type="dxa"/>
        <w:tblCellMar>
          <w:left w:w="108" w:type="dxa"/>
          <w:top w:w="57" w:type="dxa"/>
          <w:right w:w="108" w:type="dxa"/>
          <w:bottom w:w="57" w:type="dxa"/>
        </w:tblCellMar>
        <w:tblLook w:val="04A0" w:firstRow="1" w:lastRow="0" w:firstColumn="1" w:lastColumn="0" w:noHBand="0" w:noVBand="1"/>
      </w:tblPr>
      <w:tblGrid>
        <w:gridCol w:w="924"/>
        <w:gridCol w:w="4118"/>
      </w:tblGrid>
      <w:tr>
        <w:trPr/>
        <w:tc>
          <w:tcPr>
            <w:tcBorders>
              <w:bottom w:val="single" w:color="666666" w:sz="4" w:space="0"/>
            </w:tcBorders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d12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tcBorders>
              <w:bottom w:val="single" w:color="666666" w:sz="4" w:space="0"/>
            </w:tcBorders>
            <w:tcW w:w="4118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it-IT"/>
              </w:rPr>
            </w:pPr>
            <w:r>
              <w:rPr>
                <w:b/>
                <w:bCs/>
                <w:color w:val="000000"/>
                <w:szCs w:val="18"/>
                <w:lang w:val="it-IT"/>
              </w:rPr>
              <w:t xml:space="preserve">Incontro Casuale</w:t>
            </w:r>
            <w:r>
              <w:rPr>
                <w:b/>
                <w:bCs/>
                <w:color w:val="000000"/>
                <w:szCs w:val="18"/>
                <w:lang w:val="it-IT"/>
              </w:rPr>
            </w:r>
            <w:r/>
          </w:p>
        </w:tc>
      </w:tr>
      <w:tr>
        <w:trPr/>
        <w:tc>
          <w:tcPr>
            <w:shd w:val="clear" w:color="ffffff" w:fill="cccccc"/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1-4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shd w:val="clear" w:color="ffffff" w:fill="cccccc"/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3d6 bandits preparing an ambush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  <w:tr>
        <w:trPr/>
        <w:tc>
          <w:tcPr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5-7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A traveling merchant selling very expensive cheese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  <w:tr>
        <w:trPr/>
        <w:tc>
          <w:tcPr>
            <w:shd w:val="clear" w:color="ffffff" w:fill="cccccc"/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8-9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shd w:val="clear" w:color="ffffff" w:fill="cccccc"/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A party of travelers resting on the side of the road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  <w:tr>
        <w:trPr/>
        <w:tc>
          <w:tcPr>
            <w:tcW w:w="924" w:type="dxa"/>
            <w:vAlign w:val="center"/>
            <w:textDirection w:val="lrTb"/>
            <w:noWrap w:val="false"/>
          </w:tcPr>
          <w:p>
            <w:pPr>
              <w:pStyle w:val="722"/>
              <w:jc w:val="center"/>
              <w:spacing w:before="0" w:after="0"/>
              <w:rPr>
                <w:color w:val="000000"/>
                <w:lang w:val="en-US"/>
              </w:rPr>
            </w:pPr>
            <w:r>
              <w:rPr>
                <w:b/>
                <w:bCs/>
                <w:color w:val="000000"/>
                <w:szCs w:val="18"/>
                <w:lang w:val="en-US"/>
              </w:rPr>
              <w:t xml:space="preserve">10-12</w:t>
            </w:r>
            <w:r>
              <w:rPr>
                <w:b/>
                <w:bCs/>
                <w:color w:val="000000"/>
                <w:szCs w:val="18"/>
                <w:lang w:val="en-US"/>
              </w:rPr>
            </w:r>
            <w:r/>
          </w:p>
        </w:tc>
        <w:tc>
          <w:tcPr>
            <w:tcW w:w="4118" w:type="dxa"/>
            <w:vAlign w:val="center"/>
            <w:textDirection w:val="lrTb"/>
            <w:noWrap w:val="false"/>
          </w:tcPr>
          <w:p>
            <w:pPr>
              <w:pStyle w:val="722"/>
              <w:spacing w:before="0" w:after="0"/>
              <w:rPr>
                <w:color w:val="000000"/>
                <w:lang w:val="en-US"/>
              </w:rPr>
            </w:pPr>
            <w:r>
              <w:rPr>
                <w:color w:val="000000"/>
                <w:szCs w:val="18"/>
                <w:lang w:val="en-US"/>
              </w:rPr>
              <w:t xml:space="preserve">1d4 owlbears and 1d4 young owlbears</w:t>
            </w:r>
            <w:r>
              <w:rPr>
                <w:color w:val="000000"/>
                <w:szCs w:val="18"/>
                <w:lang w:val="en-US"/>
              </w:rPr>
            </w:r>
            <w:r/>
          </w:p>
        </w:tc>
      </w:tr>
    </w:tbl>
    <w:p>
      <w:pPr>
        <w:pStyle w:val="643"/>
      </w:pPr>
      <w:r>
        <w:rPr>
          <w:lang w:val="en-US"/>
        </w:rPr>
      </w:r>
      <w:r>
        <w:rPr>
          <w:lang w:val="en-US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L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a mappa(OBBLIGATORIO)</w:t>
      </w:r>
      <w:r/>
      <w:r/>
    </w:p>
    <w:p>
      <w:pPr>
        <w:pStyle w:val="643"/>
        <w:jc w:val="both"/>
      </w:pPr>
      <w:r>
        <w:rPr>
          <w:sz w:val="18"/>
          <w:lang w:val="en-US"/>
        </w:rPr>
        <w:t xml:space="preserve">Scrivere le indicazioni per la creazione della mappa con tutti gli elementi necessari alla trama. </w:t>
      </w:r>
      <w:r>
        <w:rPr>
          <w:sz w:val="18"/>
          <w:lang w:val="en-US"/>
        </w:rPr>
      </w:r>
      <w:r/>
    </w:p>
    <w:p>
      <w:pPr>
        <w:pStyle w:val="643"/>
        <w:jc w:val="both"/>
      </w:pPr>
      <w:r>
        <w:rPr>
          <w:sz w:val="18"/>
          <w:lang w:val="en-US"/>
        </w:rPr>
        <w:t xml:space="preserve">Se volete potete fare uno schizzo se presente un dungeon tipo questo:</w:t>
      </w:r>
      <w:r>
        <w:rPr>
          <w:sz w:val="18"/>
          <w:lang w:val="en-US"/>
        </w:rPr>
      </w:r>
      <w:r/>
    </w:p>
    <w:p>
      <w:pPr>
        <w:pStyle w:val="643"/>
        <w:jc w:val="both"/>
      </w:pPr>
      <w:r>
        <w:rPr>
          <w:sz w:val="1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2047875" cy="1675765"/>
                <wp:effectExtent l="0" t="0" r="0" b="0"/>
                <wp:wrapSquare wrapText="bothSides"/>
                <wp:docPr id="9" name="Immagin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3365934" name="Immagin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047874" cy="1675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;o:allowoverlap:true;o:allowincell:true;mso-position-horizontal-relative:text;mso-position-horizontal:center;mso-position-vertical-relative:text;margin-top:0.0pt;mso-position-vertical:absolute;width:161.2pt;height:131.9pt;mso-wrap-distance-left:0.0pt;mso-wrap-distance-top:0.0pt;mso-wrap-distance-right:0.0pt;mso-wrap-distance-bottom:0.0pt;" stroked="false">
                <v:path textboxrect="0,0,0,0"/>
                <w10:wrap type="square"/>
                <v:imagedata r:id="rId13" o:title=""/>
              </v:shape>
            </w:pict>
          </mc:Fallback>
        </mc:AlternateContent>
      </w:r>
      <w:r>
        <w:rPr>
          <w:rFonts w:ascii="Merriweather" w:hAnsi="Merriweather"/>
          <w:sz w:val="18"/>
          <w:lang w:val="en-US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>
        <w:rPr>
          <w:rFonts w:ascii="Merriweather" w:hAnsi="Merriweather" w:eastAsia="Arial" w:cs="Arial"/>
          <w:b/>
          <w:bCs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7"/>
      </w:pPr>
      <w:r/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  <w:t xml:space="preserve">I png(OBBLIGATORIO)</w:t>
      </w:r>
      <w:r>
        <w:rPr>
          <w:rFonts w:eastAsia="Arial" w:cs="Arial"/>
          <w:b/>
          <w:iCs/>
          <w:smallCaps/>
          <w:color w:val="000000"/>
          <w:sz w:val="28"/>
          <w:szCs w:val="28"/>
          <w:lang w:val="it-IT"/>
        </w:rPr>
      </w:r>
      <w:r/>
    </w:p>
    <w:p>
      <w:pPr>
        <w:pStyle w:val="643"/>
        <w:spacing w:before="0" w:after="200"/>
      </w:pPr>
      <w:r>
        <w:rPr>
          <w:sz w:val="18"/>
          <w:lang w:val="en-US"/>
        </w:rPr>
        <w:t xml:space="preserve">Scrivere quali Token sono presenti sulla Mappa .</w:t>
      </w:r>
      <w:r/>
      <w:r/>
      <w:r/>
      <w:r/>
    </w:p>
    <w:sectPr>
      <w:footnotePr/>
      <w:endnotePr/>
      <w:type w:val="continuous"/>
      <w:pgSz w:w="12240" w:h="15800" w:orient="portrait"/>
      <w:pgMar w:top="851" w:right="851" w:bottom="851" w:left="851" w:header="709" w:footer="709" w:gutter="0"/>
      <w:cols w:num="2" w:sep="0" w:space="454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Roboto">
    <w:panose1 w:val="02000603000000000000"/>
  </w:font>
  <w:font w:name="Noto Sans CJK SC">
    <w:panose1 w:val="020B0502040504020204"/>
  </w:font>
  <w:font w:name="Courier New">
    <w:panose1 w:val="02070309020205020404"/>
  </w:font>
  <w:font w:name="Lohit Devanagari">
    <w:panose1 w:val="02000603000000000000"/>
  </w:font>
  <w:font w:name="Wingdings">
    <w:panose1 w:val="05000000000000000000"/>
  </w:font>
  <w:font w:name="Muli">
    <w:panose1 w:val="02000603000000000000"/>
  </w:font>
  <w:font w:name="Liberation Sans">
    <w:panose1 w:val="020B0604020202020204"/>
  </w:font>
  <w:font w:name="Times New Roman">
    <w:panose1 w:val="02020603050405020304"/>
  </w:font>
  <w:font w:name="Arial">
    <w:panose1 w:val="020B0604020202020204"/>
  </w:font>
  <w:font w:name="Merriweather">
    <w:panose1 w:val="02000603000000000000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7"/>
      <w:tabs>
        <w:tab w:val="clear" w:pos="4536" w:leader="none"/>
        <w:tab w:val="center" w:pos="5387" w:leader="none"/>
        <w:tab w:val="clear" w:pos="9072" w:leader="none"/>
        <w:tab w:val="right" w:pos="10460" w:leader="none"/>
      </w:tabs>
    </w:pPr>
    <w:r/>
    <w:r/>
  </w:p>
  <w:p>
    <w:pPr>
      <w:pStyle w:val="717"/>
      <w:tabs>
        <w:tab w:val="left" w:pos="567" w:leader="none"/>
        <w:tab w:val="clear" w:pos="4536" w:leader="none"/>
        <w:tab w:val="center" w:pos="5245" w:leader="none"/>
        <w:tab w:val="clear" w:pos="9072" w:leader="none"/>
        <w:tab w:val="right" w:pos="10773" w:leader="none"/>
      </w:tabs>
    </w:pPr>
    <w:r>
      <w:rPr>
        <w:color w:val="767171"/>
      </w:rPr>
      <w:tab/>
      <w:t xml:space="preserve">Written by</w:t>
    </w:r>
    <w:r>
      <w:rPr>
        <w:i/>
        <w:iCs/>
        <w:color w:val="767171"/>
      </w:rPr>
      <w:t xml:space="preserve"> </w:t>
    </w:r>
    <w:r>
      <w:rPr>
        <w:i/>
        <w:iCs/>
        <w:color w:val="767171"/>
        <w:lang w:val="it-IT"/>
      </w:rPr>
      <w:t xml:space="preserve">Eric Bleney</w:t>
    </w:r>
    <w:r>
      <w:rPr>
        <w:color w:val="767171"/>
      </w:rPr>
      <w:tab/>
    </w:r>
    <w:r>
      <w:rPr>
        <w:color w:val="767171"/>
        <w:lang w:val="it-IT"/>
      </w:rPr>
      <w:t xml:space="preserve">Terrore a Ravenwood</w:t>
    </w:r>
    <w:r>
      <w:rPr>
        <w:color w:val="767171"/>
      </w:rPr>
      <w:tab/>
    </w:r>
    <w:r>
      <w:rPr>
        <w:color w:val="767171"/>
        <w:sz w:val="28"/>
      </w:rPr>
      <w:fldChar w:fldCharType="begin"/>
    </w:r>
    <w:r>
      <w:rPr>
        <w:color w:val="767171"/>
        <w:sz w:val="28"/>
      </w:rPr>
      <w:instrText xml:space="preserve"> PAGE </w:instrText>
    </w:r>
    <w:r>
      <w:rPr>
        <w:color w:val="767171"/>
        <w:sz w:val="28"/>
      </w:rPr>
      <w:fldChar w:fldCharType="separate"/>
    </w:r>
    <w:r>
      <w:rPr>
        <w:color w:val="767171"/>
        <w:sz w:val="28"/>
      </w:rPr>
      <w:t xml:space="preserve">5</w:t>
    </w:r>
    <w:r>
      <w:rPr>
        <w:color w:val="767171"/>
        <w:sz w:val="2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6"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16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Arial"/>
        <w:szCs w:val="24"/>
        <w:lang w:val="de-DE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48">
    <w:name w:val="Table Grid"/>
    <w:basedOn w:val="3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3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8">
    <w:name w:val="List Table 7 Colorful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9">
    <w:name w:val="List Table 7 Colorful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50">
    <w:name w:val="List Table 7 Colorful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51">
    <w:name w:val="List Table 7 Colorful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52">
    <w:name w:val="List Table 7 Colorful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53">
    <w:name w:val="Lined - Accent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5">
    <w:name w:val="Lined - Accent 2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6">
    <w:name w:val="Lined - Accent 3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7">
    <w:name w:val="Lined - Accent 4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8">
    <w:name w:val="Lined - Accent 5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59">
    <w:name w:val="Lined - Accent 6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0">
    <w:name w:val="Bordered &amp; Lined - Accent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2">
    <w:name w:val="Bordered &amp; Lined - Accent 2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3">
    <w:name w:val="Bordered &amp; Lined - Accent 3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4">
    <w:name w:val="Bordered &amp; Lined - Accent 4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5">
    <w:name w:val="Bordered &amp; Lined - Accent 5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6">
    <w:name w:val="Bordered &amp; Lined - Accent 6"/>
    <w:basedOn w:val="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7">
    <w:name w:val="Bordered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character" w:styleId="177">
    <w:name w:val="footnote reference"/>
    <w:basedOn w:val="675"/>
    <w:uiPriority w:val="99"/>
    <w:unhideWhenUsed/>
    <w:rPr>
      <w:vertAlign w:val="superscript"/>
    </w:rPr>
  </w:style>
  <w:style w:type="character" w:styleId="180">
    <w:name w:val="endnote reference"/>
    <w:basedOn w:val="675"/>
    <w:uiPriority w:val="99"/>
    <w:semiHidden/>
    <w:unhideWhenUsed/>
    <w:rPr>
      <w:vertAlign w:val="superscript"/>
    </w:rPr>
  </w:style>
  <w:style w:type="paragraph" w:styleId="643" w:default="1">
    <w:name w:val="Normal"/>
    <w:qFormat/>
    <w:pPr>
      <w:jc w:val="left"/>
      <w:spacing w:before="0" w:after="200"/>
      <w:widowControl/>
    </w:pPr>
    <w:rPr>
      <w:rFonts w:ascii="Merriweather" w:hAnsi="Merriweather" w:eastAsia="Calibri" w:cs="Arial"/>
      <w:color w:val="auto"/>
      <w:sz w:val="18"/>
      <w:szCs w:val="24"/>
      <w:lang w:val="de-DE" w:eastAsia="en-US" w:bidi="ar-SA"/>
    </w:rPr>
  </w:style>
  <w:style w:type="paragraph" w:styleId="644">
    <w:name w:val="Heading 1"/>
    <w:qFormat/>
    <w:pPr>
      <w:numPr>
        <w:ilvl w:val="0"/>
        <w:numId w:val="0"/>
      </w:numPr>
      <w:jc w:val="left"/>
      <w:keepLines/>
      <w:keepNext/>
      <w:spacing w:before="0" w:after="0"/>
      <w:widowControl/>
      <w:outlineLvl w:val="0"/>
    </w:pPr>
    <w:rPr>
      <w:rFonts w:ascii="Merriweather" w:hAnsi="Merriweather" w:eastAsia="Arial" w:cs="Arial"/>
      <w:smallCaps/>
      <w:color w:val="c00000"/>
      <w:sz w:val="72"/>
      <w:szCs w:val="72"/>
      <w:lang w:val="de-DE" w:eastAsia="en-US" w:bidi="ar-SA"/>
    </w:rPr>
  </w:style>
  <w:style w:type="paragraph" w:styleId="645">
    <w:name w:val="Heading 2"/>
    <w:qFormat/>
    <w:pPr>
      <w:numPr>
        <w:ilvl w:val="0"/>
        <w:numId w:val="0"/>
      </w:numPr>
      <w:jc w:val="left"/>
      <w:keepLines/>
      <w:keepNext/>
      <w:spacing w:before="0" w:after="60"/>
      <w:widowControl/>
      <w:outlineLvl w:val="1"/>
    </w:pPr>
    <w:rPr>
      <w:rFonts w:ascii="Merriweather" w:hAnsi="Merriweather" w:eastAsia="Arial" w:cs="Arial"/>
      <w:b/>
      <w:smallCaps/>
      <w:color w:val="000000"/>
      <w:sz w:val="44"/>
      <w:szCs w:val="44"/>
      <w:lang w:val="en-US" w:eastAsia="en-US" w:bidi="ar-SA"/>
    </w:rPr>
  </w:style>
  <w:style w:type="paragraph" w:styleId="646">
    <w:name w:val="Heading 3"/>
    <w:qFormat/>
    <w:pPr>
      <w:numPr>
        <w:ilvl w:val="0"/>
        <w:numId w:val="0"/>
      </w:numPr>
      <w:jc w:val="left"/>
      <w:keepLines/>
      <w:keepNext/>
      <w:spacing w:before="0" w:after="60"/>
      <w:widowControl/>
      <w:pBdr>
        <w:bottom w:val="single" w:color="BF8F00" w:sz="12" w:space="1"/>
      </w:pBdr>
      <w:outlineLvl w:val="2"/>
    </w:pPr>
    <w:rPr>
      <w:rFonts w:ascii="Merriweather" w:hAnsi="Merriweather" w:eastAsia="Arial" w:cs="Arial"/>
      <w:smallCaps/>
      <w:color w:val="000000"/>
      <w:sz w:val="36"/>
      <w:szCs w:val="36"/>
      <w:lang w:val="en-US" w:eastAsia="en-US" w:bidi="ar-SA"/>
    </w:rPr>
  </w:style>
  <w:style w:type="paragraph" w:styleId="647">
    <w:name w:val="Heading 4"/>
    <w:qFormat/>
    <w:pPr>
      <w:numPr>
        <w:ilvl w:val="0"/>
        <w:numId w:val="0"/>
      </w:numPr>
      <w:jc w:val="left"/>
      <w:keepLines/>
      <w:keepNext/>
      <w:spacing w:before="0" w:after="60"/>
      <w:widowControl/>
      <w:outlineLvl w:val="3"/>
    </w:pPr>
    <w:rPr>
      <w:rFonts w:ascii="Merriweather" w:hAnsi="Merriweather" w:eastAsia="Arial" w:cs="Arial"/>
      <w:b/>
      <w:iCs/>
      <w:smallCaps/>
      <w:color w:val="000000"/>
      <w:sz w:val="28"/>
      <w:szCs w:val="28"/>
      <w:lang w:val="en-US" w:eastAsia="en-US" w:bidi="ar-SA"/>
    </w:rPr>
  </w:style>
  <w:style w:type="paragraph" w:styleId="648">
    <w:name w:val="Heading 5"/>
    <w:basedOn w:val="643"/>
    <w:qFormat/>
    <w:pPr>
      <w:numPr>
        <w:ilvl w:val="0"/>
        <w:numId w:val="0"/>
      </w:num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49">
    <w:name w:val="Heading 6"/>
    <w:basedOn w:val="643"/>
    <w:qFormat/>
    <w:pPr>
      <w:numPr>
        <w:ilvl w:val="0"/>
        <w:numId w:val="0"/>
      </w:num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650">
    <w:name w:val="Heading 7"/>
    <w:basedOn w:val="643"/>
    <w:qFormat/>
    <w:pPr>
      <w:numPr>
        <w:ilvl w:val="0"/>
        <w:numId w:val="0"/>
      </w:num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51">
    <w:name w:val="Heading 8"/>
    <w:basedOn w:val="643"/>
    <w:qFormat/>
    <w:pPr>
      <w:numPr>
        <w:ilvl w:val="0"/>
        <w:numId w:val="0"/>
      </w:num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652">
    <w:name w:val="Heading 9"/>
    <w:basedOn w:val="643"/>
    <w:qFormat/>
    <w:pPr>
      <w:numPr>
        <w:ilvl w:val="0"/>
        <w:numId w:val="0"/>
      </w:num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53">
    <w:name w:val="Heading 1 Char"/>
    <w:basedOn w:val="675"/>
    <w:qFormat/>
    <w:rPr>
      <w:rFonts w:ascii="Arial" w:hAnsi="Arial" w:eastAsia="Arial" w:cs="Arial"/>
      <w:sz w:val="40"/>
      <w:szCs w:val="40"/>
    </w:rPr>
  </w:style>
  <w:style w:type="character" w:styleId="654">
    <w:name w:val="Heading 2 Char"/>
    <w:basedOn w:val="675"/>
    <w:qFormat/>
    <w:rPr>
      <w:rFonts w:ascii="Arial" w:hAnsi="Arial" w:eastAsia="Arial" w:cs="Arial"/>
      <w:sz w:val="34"/>
    </w:rPr>
  </w:style>
  <w:style w:type="character" w:styleId="655">
    <w:name w:val="Heading 3 Char"/>
    <w:basedOn w:val="675"/>
    <w:qFormat/>
    <w:rPr>
      <w:rFonts w:ascii="Arial" w:hAnsi="Arial" w:eastAsia="Arial" w:cs="Arial"/>
      <w:sz w:val="30"/>
      <w:szCs w:val="30"/>
    </w:rPr>
  </w:style>
  <w:style w:type="character" w:styleId="656">
    <w:name w:val="Heading 4 Char"/>
    <w:basedOn w:val="675"/>
    <w:qFormat/>
    <w:rPr>
      <w:rFonts w:ascii="Arial" w:hAnsi="Arial" w:eastAsia="Arial" w:cs="Arial"/>
      <w:b/>
      <w:bCs/>
      <w:sz w:val="26"/>
      <w:szCs w:val="26"/>
    </w:rPr>
  </w:style>
  <w:style w:type="character" w:styleId="657">
    <w:name w:val="Heading 5 Char"/>
    <w:basedOn w:val="675"/>
    <w:qFormat/>
    <w:rPr>
      <w:rFonts w:ascii="Arial" w:hAnsi="Arial" w:eastAsia="Arial" w:cs="Arial"/>
      <w:b/>
      <w:bCs/>
      <w:sz w:val="24"/>
      <w:szCs w:val="24"/>
    </w:rPr>
  </w:style>
  <w:style w:type="character" w:styleId="658">
    <w:name w:val="Heading 6 Char"/>
    <w:basedOn w:val="675"/>
    <w:qFormat/>
    <w:rPr>
      <w:rFonts w:ascii="Arial" w:hAnsi="Arial" w:eastAsia="Arial" w:cs="Arial"/>
      <w:b/>
      <w:bCs/>
      <w:sz w:val="22"/>
      <w:szCs w:val="22"/>
    </w:rPr>
  </w:style>
  <w:style w:type="character" w:styleId="659">
    <w:name w:val="Heading 7 Char"/>
    <w:basedOn w:val="675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660">
    <w:name w:val="Heading 8 Char"/>
    <w:basedOn w:val="675"/>
    <w:qFormat/>
    <w:rPr>
      <w:rFonts w:ascii="Arial" w:hAnsi="Arial" w:eastAsia="Arial" w:cs="Arial"/>
      <w:i/>
      <w:iCs/>
      <w:sz w:val="22"/>
      <w:szCs w:val="22"/>
    </w:rPr>
  </w:style>
  <w:style w:type="character" w:styleId="661">
    <w:name w:val="Heading 9 Char"/>
    <w:basedOn w:val="675"/>
    <w:qFormat/>
    <w:rPr>
      <w:rFonts w:ascii="Arial" w:hAnsi="Arial" w:eastAsia="Arial" w:cs="Arial"/>
      <w:i/>
      <w:iCs/>
      <w:sz w:val="21"/>
      <w:szCs w:val="21"/>
    </w:rPr>
  </w:style>
  <w:style w:type="character" w:styleId="662">
    <w:name w:val="Title Char"/>
    <w:basedOn w:val="675"/>
    <w:qFormat/>
    <w:rPr>
      <w:sz w:val="48"/>
      <w:szCs w:val="48"/>
    </w:rPr>
  </w:style>
  <w:style w:type="character" w:styleId="663">
    <w:name w:val="Subtitle Char"/>
    <w:basedOn w:val="675"/>
    <w:qFormat/>
    <w:rPr>
      <w:sz w:val="24"/>
      <w:szCs w:val="24"/>
    </w:rPr>
  </w:style>
  <w:style w:type="character" w:styleId="664">
    <w:name w:val="Quote Char"/>
    <w:qFormat/>
    <w:rPr>
      <w:i/>
    </w:rPr>
  </w:style>
  <w:style w:type="character" w:styleId="665">
    <w:name w:val="Intense Quote Char"/>
    <w:qFormat/>
    <w:rPr>
      <w:i/>
    </w:rPr>
  </w:style>
  <w:style w:type="character" w:styleId="666">
    <w:name w:val="Header Char"/>
    <w:basedOn w:val="675"/>
    <w:qFormat/>
  </w:style>
  <w:style w:type="character" w:styleId="667">
    <w:name w:val="Footer Char"/>
    <w:basedOn w:val="675"/>
    <w:qFormat/>
  </w:style>
  <w:style w:type="character" w:styleId="668">
    <w:name w:val="Caption Char"/>
    <w:qFormat/>
  </w:style>
  <w:style w:type="character" w:styleId="669">
    <w:name w:val="Footnote Text Char"/>
    <w:qFormat/>
    <w:rPr>
      <w:sz w:val="18"/>
    </w:rPr>
  </w:style>
  <w:style w:type="character" w:styleId="670">
    <w:name w:val="Richiamo alla nota a piè di pagina"/>
    <w:rPr>
      <w:vertAlign w:val="superscript"/>
    </w:rPr>
  </w:style>
  <w:style w:type="character" w:styleId="671">
    <w:name w:val="Footnote Characters"/>
    <w:qFormat/>
    <w:rPr>
      <w:vertAlign w:val="superscript"/>
    </w:rPr>
  </w:style>
  <w:style w:type="character" w:styleId="672">
    <w:name w:val="Endnote Text Char"/>
    <w:qFormat/>
    <w:rPr>
      <w:sz w:val="20"/>
    </w:rPr>
  </w:style>
  <w:style w:type="character" w:styleId="673">
    <w:name w:val="Richiamo alla nota di chiusura"/>
    <w:rPr>
      <w:vertAlign w:val="superscript"/>
    </w:rPr>
  </w:style>
  <w:style w:type="character" w:styleId="674">
    <w:name w:val="Endnote Characters"/>
    <w:qFormat/>
    <w:rPr>
      <w:vertAlign w:val="superscript"/>
    </w:rPr>
  </w:style>
  <w:style w:type="character" w:styleId="675" w:default="1">
    <w:name w:val="Default Paragraph Font"/>
    <w:qFormat/>
  </w:style>
  <w:style w:type="character" w:styleId="676">
    <w:name w:val="Kein Leerraum Zchn"/>
    <w:basedOn w:val="675"/>
    <w:qFormat/>
    <w:rPr>
      <w:rFonts w:ascii="Merriweather" w:hAnsi="Merriweather" w:eastAsia="Arial"/>
      <w:szCs w:val="22"/>
      <w:lang w:val="en-US" w:eastAsia="zh-CN"/>
    </w:rPr>
  </w:style>
  <w:style w:type="character" w:styleId="677">
    <w:name w:val="Titel Zchn"/>
    <w:basedOn w:val="675"/>
    <w:qFormat/>
    <w:rPr>
      <w:rFonts w:ascii="Merriweather" w:hAnsi="Merriweather" w:eastAsia="Arial" w:cs="Arial"/>
      <w:b/>
      <w:smallCaps/>
      <w:spacing w:val="-10"/>
      <w:sz w:val="72"/>
      <w:szCs w:val="72"/>
      <w:lang w:val="en-US" w:eastAsia="zh-CN"/>
    </w:rPr>
  </w:style>
  <w:style w:type="character" w:styleId="678">
    <w:name w:val="Untertitel Zchn"/>
    <w:basedOn w:val="675"/>
    <w:qFormat/>
    <w:rPr>
      <w:rFonts w:ascii="Merriweather" w:hAnsi="Merriweather" w:eastAsia="Arial"/>
      <w:smallCaps/>
      <w:color w:val="000000"/>
      <w:spacing w:val="15"/>
      <w:sz w:val="36"/>
      <w:szCs w:val="36"/>
      <w:lang w:val="en-US" w:eastAsia="zh-CN"/>
    </w:rPr>
  </w:style>
  <w:style w:type="character" w:styleId="679">
    <w:name w:val="Überschrift 2 Zchn"/>
    <w:basedOn w:val="675"/>
    <w:qFormat/>
    <w:rPr>
      <w:rFonts w:ascii="Merriweather" w:hAnsi="Merriweather" w:eastAsia="Arial" w:cs="Arial"/>
      <w:b/>
      <w:smallCaps/>
      <w:color w:val="000000"/>
      <w:sz w:val="44"/>
      <w:szCs w:val="44"/>
      <w:lang w:val="en-US"/>
    </w:rPr>
  </w:style>
  <w:style w:type="character" w:styleId="680">
    <w:name w:val="Überschrift 1 Zchn"/>
    <w:basedOn w:val="675"/>
    <w:qFormat/>
    <w:rPr>
      <w:rFonts w:ascii="Merriweather" w:hAnsi="Merriweather" w:eastAsia="Arial" w:cs="Arial"/>
      <w:smallCaps/>
      <w:color w:val="c00000"/>
      <w:sz w:val="72"/>
      <w:szCs w:val="72"/>
    </w:rPr>
  </w:style>
  <w:style w:type="character" w:styleId="681">
    <w:name w:val="Collegamento Internet"/>
    <w:basedOn w:val="675"/>
    <w:rPr>
      <w:color w:val="0563c1"/>
      <w:u w:val="single"/>
    </w:rPr>
  </w:style>
  <w:style w:type="character" w:styleId="682">
    <w:name w:val="Überschrift 3 Zchn"/>
    <w:basedOn w:val="675"/>
    <w:qFormat/>
    <w:rPr>
      <w:rFonts w:ascii="Merriweather" w:hAnsi="Merriweather" w:eastAsia="Arial" w:cs="Arial"/>
      <w:smallCaps/>
      <w:color w:val="000000"/>
      <w:sz w:val="36"/>
      <w:szCs w:val="36"/>
      <w:lang w:val="en-US"/>
    </w:rPr>
  </w:style>
  <w:style w:type="character" w:styleId="683">
    <w:name w:val="Überschrift 4 Zchn"/>
    <w:basedOn w:val="675"/>
    <w:qFormat/>
    <w:rPr>
      <w:rFonts w:ascii="Merriweather" w:hAnsi="Merriweather" w:eastAsia="Arial" w:cs="Arial"/>
      <w:b/>
      <w:iCs/>
      <w:smallCaps/>
      <w:color w:val="000000"/>
      <w:sz w:val="28"/>
      <w:szCs w:val="28"/>
      <w:lang w:val="en-US"/>
    </w:rPr>
  </w:style>
  <w:style w:type="character" w:styleId="684">
    <w:name w:val="Kopfzeile Zchn"/>
    <w:basedOn w:val="675"/>
    <w:qFormat/>
    <w:rPr>
      <w:rFonts w:ascii="Merriweather" w:hAnsi="Merriweather"/>
      <w:sz w:val="18"/>
    </w:rPr>
  </w:style>
  <w:style w:type="character" w:styleId="685">
    <w:name w:val="Fußzeile Zchn"/>
    <w:basedOn w:val="675"/>
    <w:qFormat/>
    <w:rPr>
      <w:rFonts w:ascii="Merriweather" w:hAnsi="Merriweather"/>
      <w:sz w:val="18"/>
    </w:rPr>
  </w:style>
  <w:style w:type="character" w:styleId="686">
    <w:name w:val="page number"/>
    <w:basedOn w:val="675"/>
    <w:qFormat/>
  </w:style>
  <w:style w:type="character" w:styleId="687">
    <w:name w:val="Sprechblasentext Zchn"/>
    <w:basedOn w:val="675"/>
    <w:qFormat/>
    <w:rPr>
      <w:rFonts w:ascii="Times New Roman" w:hAnsi="Times New Roman" w:cs="Times New Roman"/>
      <w:sz w:val="18"/>
      <w:szCs w:val="18"/>
    </w:rPr>
  </w:style>
  <w:style w:type="character" w:styleId="688">
    <w:name w:val="Salto a indice"/>
    <w:qFormat/>
  </w:style>
  <w:style w:type="paragraph" w:styleId="689">
    <w:name w:val="Titolo"/>
    <w:basedOn w:val="643"/>
    <w:next w:val="690"/>
    <w:qFormat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690">
    <w:name w:val="Body Text"/>
    <w:basedOn w:val="643"/>
    <w:pPr>
      <w:spacing w:before="0" w:after="140" w:line="276" w:lineRule="auto"/>
    </w:pPr>
  </w:style>
  <w:style w:type="paragraph" w:styleId="691">
    <w:name w:val="List"/>
    <w:basedOn w:val="690"/>
    <w:rPr>
      <w:rFonts w:cs="Lohit Devanagari"/>
    </w:rPr>
  </w:style>
  <w:style w:type="paragraph" w:styleId="692">
    <w:name w:val="Caption"/>
    <w:basedOn w:val="643"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693">
    <w:name w:val="Indice"/>
    <w:basedOn w:val="643"/>
    <w:qFormat/>
    <w:pPr>
      <w:suppressLineNumbers/>
    </w:pPr>
    <w:rPr>
      <w:rFonts w:cs="Lohit Devanagari"/>
    </w:rPr>
  </w:style>
  <w:style w:type="paragraph" w:styleId="694">
    <w:name w:val="Quote"/>
    <w:basedOn w:val="643"/>
    <w:qFormat/>
    <w:pPr>
      <w:ind w:left="720" w:right="720" w:firstLine="0"/>
    </w:pPr>
    <w:rPr>
      <w:i/>
    </w:rPr>
  </w:style>
  <w:style w:type="paragraph" w:styleId="695">
    <w:name w:val="Intense Quote"/>
    <w:basedOn w:val="643"/>
    <w:qFormat/>
    <w:pPr>
      <w:ind w:left="720" w:right="720" w:firstLine="0"/>
      <w:spacing w:before="0" w:after="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paragraph" w:styleId="696">
    <w:name w:val="footnote text"/>
    <w:basedOn w:val="643"/>
    <w:pPr>
      <w:spacing w:before="0" w:after="40" w:line="240" w:lineRule="auto"/>
    </w:pPr>
    <w:rPr>
      <w:sz w:val="18"/>
    </w:rPr>
  </w:style>
  <w:style w:type="paragraph" w:styleId="697">
    <w:name w:val="endnote text"/>
    <w:basedOn w:val="643"/>
    <w:pPr>
      <w:spacing w:before="0" w:after="0" w:line="240" w:lineRule="auto"/>
    </w:pPr>
    <w:rPr>
      <w:sz w:val="20"/>
    </w:rPr>
  </w:style>
  <w:style w:type="paragraph" w:styleId="698">
    <w:name w:val="table of figures"/>
    <w:basedOn w:val="643"/>
    <w:qFormat/>
    <w:pPr>
      <w:spacing w:before="0" w:after="0"/>
    </w:pPr>
  </w:style>
  <w:style w:type="paragraph" w:styleId="699">
    <w:name w:val="No Spacing"/>
    <w:basedOn w:val="643"/>
    <w:qFormat/>
    <w:pPr>
      <w:spacing w:before="0" w:after="0"/>
    </w:pPr>
    <w:rPr>
      <w:rFonts w:eastAsia="Arial"/>
      <w:szCs w:val="22"/>
      <w:lang w:val="en-US" w:eastAsia="zh-CN"/>
    </w:rPr>
  </w:style>
  <w:style w:type="paragraph" w:styleId="700">
    <w:name w:val="Title"/>
    <w:basedOn w:val="699"/>
    <w:qFormat/>
    <w:pPr>
      <w:contextualSpacing/>
      <w:jc w:val="center"/>
      <w:spacing w:before="0" w:after="0"/>
    </w:pPr>
    <w:rPr>
      <w:rFonts w:eastAsia="Arial" w:cs="Arial"/>
      <w:b/>
      <w:smallCaps/>
      <w:spacing w:val="-10"/>
      <w:sz w:val="72"/>
      <w:szCs w:val="72"/>
    </w:rPr>
  </w:style>
  <w:style w:type="paragraph" w:styleId="701">
    <w:name w:val="Subtitle"/>
    <w:basedOn w:val="699"/>
    <w:qFormat/>
    <w:pPr>
      <w:jc w:val="center"/>
    </w:pPr>
    <w:rPr>
      <w:rFonts w:eastAsia="Arial"/>
      <w:smallCaps/>
      <w:color w:val="000000"/>
      <w:spacing w:val="15"/>
      <w:sz w:val="36"/>
      <w:szCs w:val="36"/>
    </w:rPr>
  </w:style>
  <w:style w:type="paragraph" w:styleId="702">
    <w:name w:val="toc 3"/>
    <w:basedOn w:val="643"/>
    <w:rPr>
      <w:rFonts w:ascii="Calibri" w:hAnsi="Calibri"/>
      <w:smallCaps/>
      <w:sz w:val="22"/>
      <w:szCs w:val="22"/>
    </w:rPr>
  </w:style>
  <w:style w:type="paragraph" w:styleId="703">
    <w:name w:val="toc 1"/>
    <w:pPr>
      <w:jc w:val="left"/>
      <w:keepNext/>
      <w:spacing w:before="120" w:after="0"/>
      <w:widowControl/>
      <w:tabs>
        <w:tab w:val="clear" w:pos="709" w:leader="none"/>
        <w:tab w:val="right" w:pos="9056" w:leader="dot"/>
      </w:tabs>
    </w:pPr>
    <w:rPr>
      <w:rFonts w:ascii="Merriweather" w:hAnsi="Merriweather" w:eastAsia="Calibri" w:cs="Arial"/>
      <w:b/>
      <w:bCs/>
      <w:color w:val="auto"/>
      <w:sz w:val="20"/>
      <w:szCs w:val="22"/>
      <w:lang w:val="de-DE" w:eastAsia="en-US" w:bidi="ar-SA"/>
    </w:rPr>
  </w:style>
  <w:style w:type="paragraph" w:styleId="704">
    <w:name w:val="toc 2"/>
    <w:pPr>
      <w:ind w:left="454" w:right="0" w:firstLine="0"/>
      <w:jc w:val="left"/>
      <w:keepNext/>
      <w:spacing w:before="0" w:after="0"/>
      <w:widowControl/>
    </w:pPr>
    <w:rPr>
      <w:rFonts w:ascii="Merriweather" w:hAnsi="Merriweather" w:eastAsia="Calibri" w:cs="Arial"/>
      <w:bCs/>
      <w:color w:val="auto"/>
      <w:sz w:val="20"/>
      <w:szCs w:val="22"/>
      <w:lang w:val="de-DE" w:eastAsia="en-US" w:bidi="ar-SA"/>
    </w:rPr>
  </w:style>
  <w:style w:type="paragraph" w:styleId="705">
    <w:name w:val="toc 4"/>
    <w:basedOn w:val="643"/>
    <w:rPr>
      <w:rFonts w:ascii="Calibri" w:hAnsi="Calibri"/>
      <w:sz w:val="22"/>
      <w:szCs w:val="22"/>
    </w:rPr>
  </w:style>
  <w:style w:type="paragraph" w:styleId="706">
    <w:name w:val="toc 5"/>
    <w:basedOn w:val="643"/>
    <w:rPr>
      <w:rFonts w:ascii="Calibri" w:hAnsi="Calibri"/>
      <w:sz w:val="22"/>
      <w:szCs w:val="22"/>
    </w:rPr>
  </w:style>
  <w:style w:type="paragraph" w:styleId="707">
    <w:name w:val="toc 6"/>
    <w:basedOn w:val="643"/>
    <w:rPr>
      <w:rFonts w:ascii="Calibri" w:hAnsi="Calibri"/>
      <w:sz w:val="22"/>
      <w:szCs w:val="22"/>
    </w:rPr>
  </w:style>
  <w:style w:type="paragraph" w:styleId="708">
    <w:name w:val="toc 7"/>
    <w:basedOn w:val="643"/>
    <w:rPr>
      <w:rFonts w:ascii="Calibri" w:hAnsi="Calibri"/>
      <w:sz w:val="22"/>
      <w:szCs w:val="22"/>
    </w:rPr>
  </w:style>
  <w:style w:type="paragraph" w:styleId="709">
    <w:name w:val="toc 8"/>
    <w:basedOn w:val="643"/>
    <w:rPr>
      <w:rFonts w:ascii="Calibri" w:hAnsi="Calibri"/>
      <w:sz w:val="22"/>
      <w:szCs w:val="22"/>
    </w:rPr>
  </w:style>
  <w:style w:type="paragraph" w:styleId="710">
    <w:name w:val="toc 9"/>
    <w:basedOn w:val="643"/>
    <w:rPr>
      <w:rFonts w:ascii="Calibri" w:hAnsi="Calibri"/>
      <w:sz w:val="22"/>
      <w:szCs w:val="22"/>
    </w:rPr>
  </w:style>
  <w:style w:type="paragraph" w:styleId="711">
    <w:name w:val="TOC Heading"/>
    <w:basedOn w:val="644"/>
    <w:qFormat/>
    <w:pPr>
      <w:spacing w:before="480" w:after="0" w:line="276" w:lineRule="auto"/>
    </w:pPr>
    <w:rPr>
      <w:b/>
      <w:bCs/>
      <w:sz w:val="28"/>
      <w:szCs w:val="28"/>
      <w:lang w:eastAsia="de-DE"/>
    </w:rPr>
  </w:style>
  <w:style w:type="paragraph" w:styleId="712">
    <w:name w:val="List Paragraph"/>
    <w:basedOn w:val="643"/>
    <w:qFormat/>
    <w:pPr>
      <w:contextualSpacing/>
      <w:ind w:left="720" w:right="0" w:firstLine="0"/>
      <w:spacing w:before="0" w:after="200"/>
    </w:pPr>
  </w:style>
  <w:style w:type="paragraph" w:styleId="713">
    <w:name w:val="Infobox"/>
    <w:basedOn w:val="643"/>
    <w:qFormat/>
    <w:pPr>
      <w:spacing w:before="0" w:after="120"/>
    </w:pPr>
    <w:rPr>
      <w:color w:val="000000"/>
      <w:lang w:val="en-US"/>
    </w:rPr>
  </w:style>
  <w:style w:type="paragraph" w:styleId="714">
    <w:name w:val="Flavorbox"/>
    <w:basedOn w:val="713"/>
    <w:qFormat/>
    <w:pPr>
      <w:spacing w:line="288" w:lineRule="auto"/>
    </w:pPr>
    <w:rPr>
      <w:rFonts w:ascii="Muli" w:hAnsi="Muli"/>
    </w:rPr>
  </w:style>
  <w:style w:type="paragraph" w:styleId="715">
    <w:name w:val="Intestazione e piè di pagina"/>
    <w:basedOn w:val="643"/>
    <w:qFormat/>
  </w:style>
  <w:style w:type="paragraph" w:styleId="716">
    <w:name w:val="Header"/>
    <w:basedOn w:val="643"/>
    <w:pPr>
      <w:spacing w:before="0" w:after="0"/>
      <w:tabs>
        <w:tab w:val="clear" w:pos="709" w:leader="none"/>
        <w:tab w:val="center" w:pos="4536" w:leader="none"/>
        <w:tab w:val="right" w:pos="9072" w:leader="none"/>
      </w:tabs>
    </w:pPr>
  </w:style>
  <w:style w:type="paragraph" w:styleId="717">
    <w:name w:val="Footer"/>
    <w:basedOn w:val="643"/>
    <w:pPr>
      <w:spacing w:before="0" w:after="0"/>
      <w:tabs>
        <w:tab w:val="clear" w:pos="709" w:leader="none"/>
        <w:tab w:val="center" w:pos="4536" w:leader="none"/>
        <w:tab w:val="right" w:pos="9072" w:leader="none"/>
      </w:tabs>
    </w:pPr>
  </w:style>
  <w:style w:type="paragraph" w:styleId="718">
    <w:name w:val="Statbox Header"/>
    <w:basedOn w:val="713"/>
    <w:qFormat/>
    <w:pPr>
      <w:spacing w:before="0" w:after="0"/>
    </w:pPr>
    <w:rPr>
      <w:smallCaps/>
      <w:color w:val="833c0b"/>
      <w:sz w:val="32"/>
    </w:rPr>
  </w:style>
  <w:style w:type="paragraph" w:styleId="719">
    <w:name w:val="Statbox Text"/>
    <w:basedOn w:val="713"/>
    <w:qFormat/>
    <w:rPr>
      <w:rFonts w:ascii="Roboto" w:hAnsi="Roboto"/>
      <w:color w:val="833c0b"/>
    </w:rPr>
  </w:style>
  <w:style w:type="paragraph" w:styleId="720">
    <w:name w:val="Statbox Section"/>
    <w:basedOn w:val="719"/>
    <w:qFormat/>
    <w:pPr>
      <w:spacing w:before="0" w:after="60"/>
    </w:pPr>
    <w:rPr>
      <w:smallCaps/>
      <w:sz w:val="28"/>
    </w:rPr>
  </w:style>
  <w:style w:type="paragraph" w:styleId="721">
    <w:name w:val="Balloon Text"/>
    <w:basedOn w:val="643"/>
    <w:qFormat/>
    <w:pPr>
      <w:spacing w:before="0" w:after="0"/>
    </w:pPr>
    <w:rPr>
      <w:rFonts w:ascii="Times New Roman" w:hAnsi="Times New Roman" w:cs="Times New Roman"/>
      <w:szCs w:val="18"/>
    </w:rPr>
  </w:style>
  <w:style w:type="paragraph" w:styleId="722">
    <w:name w:val="Contenuto cornice"/>
    <w:basedOn w:val="643"/>
    <w:qFormat/>
  </w:style>
  <w:style w:type="paragraph" w:styleId="723">
    <w:name w:val="Contenuto tabella"/>
    <w:basedOn w:val="643"/>
    <w:qFormat/>
    <w:pPr>
      <w:suppressLineNumbers/>
    </w:pPr>
  </w:style>
  <w:style w:type="paragraph" w:styleId="724">
    <w:name w:val="Titolo tabella"/>
    <w:basedOn w:val="723"/>
    <w:qFormat/>
    <w:pPr>
      <w:jc w:val="center"/>
      <w:suppressLineNumbers/>
    </w:pPr>
    <w:rPr>
      <w:b/>
      <w:bCs/>
    </w:rPr>
  </w:style>
  <w:style w:type="numbering" w:styleId="725" w:default="1">
    <w:name w:val="No List"/>
    <w:qFormat/>
  </w:style>
  <w:style w:type="table" w:styleId="1614" w:default="1">
    <w:name w:val="Normal Table"/>
    <w:uiPriority w:val="99"/>
    <w:semiHidden/>
    <w:unhideWhenUsed/>
    <w:tblPr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image" Target="media/image1.jpg"/><Relationship Id="rId13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ONLYOFFICE/7.3.0.184</Application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Subtitle</dc:subject>
  <dc:creator>Author Name</dc:creator>
  <dc:description/>
  <dc:language>it-IT</dc:language>
  <cp:revision>16</cp:revision>
  <dcterms:created xsi:type="dcterms:W3CDTF">2017-04-10T14:53:00Z</dcterms:created>
  <dcterms:modified xsi:type="dcterms:W3CDTF">2023-03-12T22:11:14Z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HyperlinksChanged">
    <vt:bool>false</vt:bool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