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1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Construção de Serviços</w:t>
      </w:r>
    </w:p>
    <w:p>
      <w:pPr>
        <w:pStyle w:val="FirstParagraph"/>
      </w:pPr>
      <w:r>
        <w:rPr>
          <w:b/>
          <w:bCs/>
        </w:rPr>
        <w:t xml:space="preserve">Nome do Processo</w:t>
      </w:r>
    </w:p>
    <w:p>
      <w:pPr>
        <w:pStyle w:val="BodyText"/>
      </w:pPr>
      <w:r>
        <w:rPr>
          <w:b/>
          <w:bCs/>
        </w:rPr>
        <w:t xml:space="preserve">Construção de Serviços</w:t>
      </w:r>
    </w:p>
    <w:p>
      <w:pPr>
        <w:pStyle w:val="BodyText"/>
      </w:pPr>
      <w:r>
        <w:t xml:space="preserve">Autores: Pedro Custódio, Alexandre Pierri, Lucas Roberto, Gabriel Albertini e Kawan Mark</w:t>
      </w:r>
    </w:p>
    <w:p>
      <w:pPr>
        <w:pStyle w:val="BodyText"/>
      </w:pPr>
      <w:r>
        <w:t xml:space="preserve">Data de emissão: 29/04/2026</w:t>
      </w:r>
    </w:p>
    <w:p>
      <w:pPr>
        <w:pStyle w:val="BodyText"/>
      </w:pPr>
      <w:r>
        <w:t xml:space="preserve">Revisor: Equipe FINTA</w:t>
      </w:r>
    </w:p>
    <w:p>
      <w:pPr>
        <w:pStyle w:val="BodyText"/>
      </w:pPr>
      <w:r>
        <w:t xml:space="preserve">Data de revisão: 29/04/2026</w:t>
      </w:r>
    </w:p>
    <w:bookmarkStart w:id="9" w:name="objetivo-do-documento"/>
    <w:p>
      <w:pPr>
        <w:pStyle w:val="Heading1"/>
      </w:pPr>
      <w:r>
        <w:t xml:space="preserve">Objetivo do Documento</w:t>
      </w:r>
    </w:p>
    <w:p>
      <w:pPr>
        <w:pStyle w:val="FirstParagraph"/>
      </w:pPr>
      <w:r>
        <w:t xml:space="preserve">Este documento descreve a construção de dois serviços do sistema FINTA em uma arquitetura orientada a serviços: o</w:t>
      </w:r>
      <w:r>
        <w:t xml:space="preserve"> </w:t>
      </w:r>
      <w:r>
        <w:rPr>
          <w:b/>
          <w:bCs/>
        </w:rPr>
        <w:t xml:space="preserve">Serviço de Autenticação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Serviço de Consulta de Cotação</w:t>
      </w:r>
      <w:r>
        <w:t xml:space="preserve">. A entrega apresenta o estilo de coordenação adotado, o fluxo de interação entre os serviços e as estratégias de teste unitário e de integração, com evidências da execução dos testes.</w:t>
      </w:r>
    </w:p>
    <w:bookmarkEnd w:id="9"/>
    <w:bookmarkStart w:id="13" w:name="estilo-de-coordenação-dos-serviços"/>
    <w:p>
      <w:pPr>
        <w:pStyle w:val="Heading1"/>
      </w:pPr>
      <w:r>
        <w:t xml:space="preserve">Estilo de Coordenação dos Serviços</w:t>
      </w:r>
    </w:p>
    <w:p>
      <w:pPr>
        <w:pStyle w:val="FirstParagraph"/>
      </w:pPr>
      <w:r>
        <w:t xml:space="preserve">O estilo de coordenação adotado é</w:t>
      </w:r>
      <w:r>
        <w:t xml:space="preserve"> </w:t>
      </w:r>
      <w:r>
        <w:rPr>
          <w:b/>
          <w:bCs/>
        </w:rPr>
        <w:t xml:space="preserve">orquestração síncrona</w:t>
      </w:r>
      <w:r>
        <w:t xml:space="preserve">.</w:t>
      </w:r>
    </w:p>
    <w:p>
      <w:pPr>
        <w:pStyle w:val="BodyText"/>
      </w:pPr>
      <w:r>
        <w:t xml:space="preserve">A escolha se justifica porque o backend controla explicitamente a sequência do fluxo. Para consultar uma cotação, o cliente primeiro precisa estar autenticado; o endpoint de cotação valida o token Bearer JWT e somente depois aciona o serviço responsável por consultar preço, cache e provedor externo. Assim, a ordem das chamadas é centralizada pelo Worker/API, e não distribuída por eventos independentes entre serviços.</w:t>
      </w:r>
    </w:p>
    <w:p>
      <w:pPr>
        <w:pStyle w:val="BodyText"/>
      </w:pPr>
      <w:r>
        <w:t xml:space="preserve">Serviços e componentes envolvidos: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Serviço de Autenticação</w:t>
      </w:r>
      <w:r>
        <w:t xml:space="preserve">: realiza login, valida credenciais e emite token Bearer JWT.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Serviço de Consulta de Cotação</w:t>
      </w:r>
      <w:r>
        <w:t xml:space="preserve">: recebe a solicitação autenticada e retorna cotação de ação ou criptomoeda.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Cache de Cotação</w:t>
      </w:r>
      <w:r>
        <w:t xml:space="preserve">: mantém snapshots de cotações em KV para reduzir chamadas externas.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Provedores Externos</w:t>
      </w:r>
      <w:r>
        <w:t xml:space="preserve">: Brapi para ações e CoinCap para criptomoedas.</w:t>
      </w:r>
    </w:p>
    <w:p>
      <w:pPr>
        <w:pStyle w:val="FirstParagraph"/>
      </w:pPr>
      <w:r>
        <w:t xml:space="preserve">Fluxo principal:</w:t>
      </w:r>
    </w:p>
    <w:p>
      <w:pPr>
        <w:pStyle w:val="Compact"/>
        <w:numPr>
          <w:ilvl w:val="0"/>
          <w:numId w:val="1002"/>
        </w:numPr>
      </w:pPr>
      <w:r>
        <w:t xml:space="preserve">O usuário informa e-mail e senha no frontend web.</w:t>
      </w:r>
    </w:p>
    <w:p>
      <w:pPr>
        <w:pStyle w:val="Compact"/>
        <w:numPr>
          <w:ilvl w:val="0"/>
          <w:numId w:val="1002"/>
        </w:numPr>
      </w:pPr>
      <w:r>
        <w:t xml:space="preserve">O frontend envia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ao Serviço de Autenticação.</w:t>
      </w:r>
    </w:p>
    <w:p>
      <w:pPr>
        <w:pStyle w:val="Compact"/>
        <w:numPr>
          <w:ilvl w:val="0"/>
          <w:numId w:val="1002"/>
        </w:numPr>
      </w:pPr>
      <w:r>
        <w:t xml:space="preserve">O Serviço de Autenticação consulta o banco D1, valida a senha e emite um Bearer JWT.</w:t>
      </w:r>
    </w:p>
    <w:p>
      <w:pPr>
        <w:pStyle w:val="Compact"/>
        <w:numPr>
          <w:ilvl w:val="0"/>
          <w:numId w:val="1002"/>
        </w:numPr>
      </w:pPr>
      <w:r>
        <w:t xml:space="preserve">O frontend envia</w:t>
      </w:r>
      <w:r>
        <w:t xml:space="preserve"> </w:t>
      </w:r>
      <w:r>
        <w:rPr>
          <w:rStyle w:val="VerbatimChar"/>
        </w:rPr>
        <w:t xml:space="preserve">GET /ativos/{ticker}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 endpoint de cotação valida o token antes de consultar o ativo.</w:t>
      </w:r>
    </w:p>
    <w:p>
      <w:pPr>
        <w:pStyle w:val="Compact"/>
        <w:numPr>
          <w:ilvl w:val="0"/>
          <w:numId w:val="1002"/>
        </w:numPr>
      </w:pPr>
      <w:r>
        <w:t xml:space="preserve">O Serviço de Consulta de Cotação verifica o cache KV.</w:t>
      </w:r>
    </w:p>
    <w:p>
      <w:pPr>
        <w:pStyle w:val="Compact"/>
        <w:numPr>
          <w:ilvl w:val="0"/>
          <w:numId w:val="1002"/>
        </w:numPr>
      </w:pPr>
      <w:r>
        <w:t xml:space="preserve">Se houver cache válido, retorna a cotação em cache.</w:t>
      </w:r>
    </w:p>
    <w:p>
      <w:pPr>
        <w:pStyle w:val="Compact"/>
        <w:numPr>
          <w:ilvl w:val="0"/>
          <w:numId w:val="1002"/>
        </w:numPr>
      </w:pPr>
      <w:r>
        <w:t xml:space="preserve">Se o cache estiver ausente, chama o provedor externo, salva o snapshot e retorna a cotação ao cliente.</w:t>
      </w:r>
    </w:p>
    <w:p>
      <w:pPr>
        <w:pStyle w:val="Compact"/>
        <w:numPr>
          <w:ilvl w:val="0"/>
          <w:numId w:val="1002"/>
        </w:numPr>
      </w:pPr>
      <w:r>
        <w:t xml:space="preserve">Se o cache estiver expirado, retorna o snapshot stale imediatamente e agenda atualização em background.</w:t>
      </w:r>
    </w:p>
    <w:p>
      <w:pPr>
        <w:pStyle w:val="CaptionedFigure"/>
      </w:pPr>
      <w:r>
        <w:drawing>
          <wp:inline>
            <wp:extent cx="5486400" cy="5553635"/>
            <wp:effectExtent b="0" l="0" r="0" t="0"/>
            <wp:docPr descr="Diagrama de sequência do fluxo de autenticação e cotação" title="" id="11" name="Picture"/>
            <a:graphic>
              <a:graphicData uri="http://schemas.openxmlformats.org/drawingml/2006/picture">
                <pic:pic>
                  <pic:nvPicPr>
                    <pic:cNvPr descr="diagramas/fluxo-autenticacao-cotacao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53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sequência do fluxo de autenticação e cotação</w:t>
      </w:r>
    </w:p>
    <w:bookmarkEnd w:id="13"/>
    <w:bookmarkStart w:id="16" w:name="estratégia-de-teste"/>
    <w:p>
      <w:pPr>
        <w:pStyle w:val="Heading1"/>
      </w:pPr>
      <w:r>
        <w:t xml:space="preserve">Estratégia de Teste</w:t>
      </w:r>
    </w:p>
    <w:p>
      <w:pPr>
        <w:pStyle w:val="FirstParagraph"/>
      </w:pPr>
      <w:r>
        <w:t xml:space="preserve">A estratégia de testes foi dividida entre teste unitário e teste de integração. O teste unitário foca a lógica interna do Serviço de Consulta de Cotação. O teste de integração valida a comunicação entre Autenticação e Consulta de Cotação no backend.</w:t>
      </w:r>
    </w:p>
    <w:bookmarkStart w:id="14" w:name="tipo-de-teste-teste-unitário"/>
    <w:p>
      <w:pPr>
        <w:pStyle w:val="Heading2"/>
      </w:pPr>
      <w:r>
        <w:t xml:space="preserve">Tipo de Teste: Teste Unitário</w:t>
      </w:r>
    </w:p>
    <w:p>
      <w:pPr>
        <w:pStyle w:val="FirstParagraph"/>
      </w:pPr>
      <w:r>
        <w:rPr>
          <w:b/>
          <w:bCs/>
        </w:rPr>
        <w:t xml:space="preserve">Serviço testado:</w:t>
      </w:r>
      <w:r>
        <w:t xml:space="preserve"> </w:t>
      </w:r>
      <w:r>
        <w:t xml:space="preserve">Serviço de Consulta de Cotação (</w:t>
      </w:r>
      <w:r>
        <w:rPr>
          <w:rStyle w:val="VerbatimChar"/>
        </w:rPr>
        <w:t xml:space="preserve">@finta/price-query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Objetivo do Teste:</w:t>
      </w:r>
      <w:r>
        <w:t xml:space="preserve"> </w:t>
      </w:r>
      <w:r>
        <w:t xml:space="preserve">validar a lógica interna de consulta de cotação, principalmente a decisão entre buscar dados no cache ou no provedor externo. Os cenários cobrem cache frio, cache quente, cache expirado, atualização em background, ausência de cotação cacheada e busca por prefixo.</w:t>
      </w:r>
    </w:p>
    <w:p>
      <w:pPr>
        <w:pStyle w:val="BodyText"/>
      </w:pPr>
      <w:r>
        <w:rPr>
          <w:b/>
          <w:bCs/>
        </w:rPr>
        <w:t xml:space="preserve">Técnica:</w:t>
      </w:r>
      <w:r>
        <w:t xml:space="preserve"> </w:t>
      </w:r>
      <w:r>
        <w:t xml:space="preserve">testes automatizados com Vitest, usando dublês/mocks para o gateway de dados de mercado e uma implementação em memória do repositório de cache. Dessa forma, a regra de negócio é validada isoladamente, sem depender de Cloudflare KV ou de provedores externos reais.</w:t>
      </w:r>
    </w:p>
    <w:p>
      <w:pPr>
        <w:pStyle w:val="BodyText"/>
      </w:pPr>
      <w:r>
        <w:rPr>
          <w:b/>
          <w:bCs/>
        </w:rPr>
        <w:t xml:space="preserve">Arquivo de teste:</w:t>
      </w:r>
      <w:r>
        <w:t xml:space="preserve"> </w:t>
      </w:r>
      <w:r>
        <w:rPr>
          <w:rStyle w:val="VerbatimChar"/>
        </w:rPr>
        <w:t xml:space="preserve">packages/price-query/src/application/price-query-service.test.ts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Critério de Finalização:</w:t>
      </w:r>
      <w:r>
        <w:t xml:space="preserve"> </w:t>
      </w:r>
      <w:r>
        <w:t xml:space="preserve">todos os testes unitários do pacote</w:t>
      </w:r>
      <w:r>
        <w:t xml:space="preserve"> </w:t>
      </w:r>
      <w:r>
        <w:rPr>
          <w:rStyle w:val="VerbatimChar"/>
        </w:rPr>
        <w:t xml:space="preserve">@finta/price-query</w:t>
      </w:r>
      <w:r>
        <w:t xml:space="preserve"> </w:t>
      </w:r>
      <w:r>
        <w:t xml:space="preserve">devem passar, incluindo os cenários de cache e atualização.</w:t>
      </w:r>
    </w:p>
    <w:p>
      <w:pPr>
        <w:pStyle w:val="BodyText"/>
      </w:pPr>
      <w:r>
        <w:t xml:space="preserve">Comando executado: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@finta/price-query test</w:t>
      </w:r>
    </w:p>
    <w:bookmarkEnd w:id="14"/>
    <w:bookmarkStart w:id="15" w:name="tipo-de-teste-teste-de-integração"/>
    <w:p>
      <w:pPr>
        <w:pStyle w:val="Heading2"/>
      </w:pPr>
      <w:r>
        <w:t xml:space="preserve">Tipo de Teste: Teste de Integração</w:t>
      </w:r>
    </w:p>
    <w:p>
      <w:pPr>
        <w:pStyle w:val="FirstParagraph"/>
      </w:pPr>
      <w:r>
        <w:rPr>
          <w:b/>
          <w:bCs/>
        </w:rPr>
        <w:t xml:space="preserve">Serviços testados:</w:t>
      </w:r>
      <w:r>
        <w:t xml:space="preserve"> </w:t>
      </w:r>
      <w:r>
        <w:t xml:space="preserve">Serviço de Autenticação e Serviço de Consulta de Cotação.</w:t>
      </w:r>
    </w:p>
    <w:p>
      <w:pPr>
        <w:pStyle w:val="BodyText"/>
      </w:pPr>
      <w:r>
        <w:rPr>
          <w:b/>
          <w:bCs/>
        </w:rPr>
        <w:t xml:space="preserve">Objetivo do Teste:</w:t>
      </w:r>
      <w:r>
        <w:t xml:space="preserve"> </w:t>
      </w:r>
      <w:r>
        <w:t xml:space="preserve">validar que a consulta de cotação só é executada mediante autenticação válida e que o fluxo integrado retorna cotação com metadados de cache. Também são verificados casos negativos, como token ausente, inválido ou expirado.</w:t>
      </w:r>
    </w:p>
    <w:p>
      <w:pPr>
        <w:pStyle w:val="BodyText"/>
      </w:pPr>
      <w:r>
        <w:rPr>
          <w:b/>
          <w:bCs/>
        </w:rPr>
        <w:t xml:space="preserve">Técnica:</w:t>
      </w:r>
      <w:r>
        <w:t xml:space="preserve"> </w:t>
      </w:r>
      <w:r>
        <w:t xml:space="preserve">testes automatizados com Vitest sobre o Worker HTTP (</w:t>
      </w:r>
      <w:r>
        <w:rPr>
          <w:rStyle w:val="VerbatimChar"/>
        </w:rPr>
        <w:t xml:space="preserve">apps/backend-cloudflare</w:t>
      </w:r>
      <w:r>
        <w:t xml:space="preserve">). O teste aciona endpoints reais da aplicação em ambiente de teste, com banco D1 falso, cache KV falso e provedores externos mockados por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. Isso valida a integração entre autenticação, autorização, consulta de cotação e persistência em cache.</w:t>
      </w:r>
    </w:p>
    <w:p>
      <w:pPr>
        <w:pStyle w:val="BodyText"/>
      </w:pPr>
      <w:r>
        <w:rPr>
          <w:b/>
          <w:bCs/>
        </w:rPr>
        <w:t xml:space="preserve">Arquivo de teste:</w:t>
      </w:r>
      <w:r>
        <w:t xml:space="preserve"> </w:t>
      </w:r>
      <w:r>
        <w:rPr>
          <w:rStyle w:val="VerbatimChar"/>
        </w:rPr>
        <w:t xml:space="preserve">apps/backend-cloudflare/src/index.test.ts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Critério de Finalização:</w:t>
      </w:r>
      <w:r>
        <w:t xml:space="preserve"> </w:t>
      </w:r>
      <w:r>
        <w:t xml:space="preserve">todos os testes do backend devem passar, incluindo os cenários de login/autenticação, consulta de cotação autenticada, uso de cache e respostas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para tokens inválidos.</w:t>
      </w:r>
    </w:p>
    <w:p>
      <w:pPr>
        <w:pStyle w:val="BodyText"/>
      </w:pPr>
      <w:r>
        <w:t xml:space="preserve">Comando executado: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backend-cloudflare test</w:t>
      </w:r>
    </w:p>
    <w:bookmarkEnd w:id="15"/>
    <w:bookmarkEnd w:id="16"/>
    <w:bookmarkStart w:id="25" w:name="evidências-dos-testes-realizados-prints"/>
    <w:p>
      <w:pPr>
        <w:pStyle w:val="Heading1"/>
      </w:pPr>
      <w:r>
        <w:t xml:space="preserve">Evidências dos testes realizados (prints)</w:t>
      </w:r>
    </w:p>
    <w:p>
      <w:pPr>
        <w:pStyle w:val="FirstParagraph"/>
      </w:pPr>
      <w:r>
        <w:t xml:space="preserve">Abaixo estão os prints gerados com a ferramenta Freeze a partir da execução real dos testes no terminal.</w:t>
      </w:r>
    </w:p>
    <w:bookmarkStart w:id="20" w:name="X9ae2475b6d332b62698cc2680ef72d66d5e7759"/>
    <w:p>
      <w:pPr>
        <w:pStyle w:val="Heading2"/>
      </w:pPr>
      <w:r>
        <w:t xml:space="preserve">Evidência 1 — Teste unitário do Serviço de Consulta de Cotação</w:t>
      </w:r>
    </w:p>
    <w:p>
      <w:pPr>
        <w:pStyle w:val="CaptionedFigure"/>
      </w:pPr>
      <w:r>
        <w:drawing>
          <wp:inline>
            <wp:extent cx="5486400" cy="2842020"/>
            <wp:effectExtent b="0" l="0" r="0" t="0"/>
            <wp:docPr descr="Execução do teste unitário do pacote price-query" title="" id="18" name="Picture"/>
            <a:graphic>
              <a:graphicData uri="http://schemas.openxmlformats.org/drawingml/2006/picture">
                <pic:pic>
                  <pic:nvPicPr>
                    <pic:cNvPr descr="evidencias/teste-unitario-price-query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2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Execução do teste unitário do pacote price-query</w:t>
      </w:r>
    </w:p>
    <w:bookmarkEnd w:id="20"/>
    <w:bookmarkStart w:id="24" w:name="X1c39116fdf96485fbdc5a41ec98e2cf0c5d4510"/>
    <w:p>
      <w:pPr>
        <w:pStyle w:val="Heading2"/>
      </w:pPr>
      <w:r>
        <w:t xml:space="preserve">Evidência 2 — Teste de integração do backend</w:t>
      </w:r>
    </w:p>
    <w:p>
      <w:pPr>
        <w:pStyle w:val="CaptionedFigure"/>
      </w:pPr>
      <w:r>
        <w:drawing>
          <wp:inline>
            <wp:extent cx="5486400" cy="4766143"/>
            <wp:effectExtent b="0" l="0" r="0" t="0"/>
            <wp:docPr descr="Execução do teste de integração do backend" title="" id="22" name="Picture"/>
            <a:graphic>
              <a:graphicData uri="http://schemas.openxmlformats.org/drawingml/2006/picture">
                <pic:pic>
                  <pic:nvPicPr>
                    <pic:cNvPr descr="evidencias/teste-integracao-backen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66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Execução do teste de integração do backend</w:t>
      </w:r>
    </w:p>
    <w:p>
      <w:pPr>
        <w:pStyle w:val="BodyText"/>
      </w:pPr>
      <w:r>
        <w:rPr>
          <w:b/>
          <w:bCs/>
        </w:rPr>
        <w:t xml:space="preserve">CENTRO UNIVERSITÁRIO FEI</w:t>
      </w:r>
    </w:p>
    <w:p>
      <w:pPr>
        <w:pStyle w:val="BodyText"/>
      </w:pPr>
      <w:r>
        <w:t xml:space="preserve">Avenida Humberto de Alencar Castelo Branco, 3972, CEP: 09850-901 São Bernardo do Campo</w:t>
      </w:r>
    </w:p>
    <w:p>
      <w:pPr>
        <w:pStyle w:val="BodyText"/>
      </w:pPr>
      <w:r>
        <w:t xml:space="preserve">Telefone: (011) 4353-2900 Fax (011) 4109-5994</w:t>
      </w:r>
    </w:p>
    <w:p>
      <w:pPr>
        <w:pStyle w:val="BodyText"/>
      </w:pPr>
      <w:r>
        <w:t xml:space="preserve">Curso de Ciências da Computação</w:t>
      </w:r>
    </w:p>
    <w:p>
      <w:pPr>
        <w:pStyle w:val="BodyText"/>
      </w:pPr>
      <w:r>
        <w:t xml:space="preserve">TPM_Fase de Construção</w:t>
      </w:r>
    </w:p>
    <w:bookmarkEnd w:id="24"/>
    <w:bookmarkEnd w:id="25"/>
    <w:sectPr>
      <w:pgSz w:h="15840" w:w="12240"/>
      <w:pgMar w:bottom="1440" w:left="1800" w:right="180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Construção de Serviços</dc:title>
  <dc:creator/>
  <cp:keywords/>
  <dcterms:created xsi:type="dcterms:W3CDTF">2026-04-30T01:13:11Z</dcterms:created>
  <dcterms:modified xsi:type="dcterms:W3CDTF">2026-04-30T01:13:11Z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