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1289" w14:textId="77777777" w:rsidR="008D713F" w:rsidRDefault="00000000">
      <w:pPr>
        <w:spacing w:before="240"/>
        <w:jc w:val="center"/>
      </w:pPr>
      <w:r>
        <w:rPr>
          <w:b/>
          <w:bCs/>
          <w:sz w:val="44"/>
          <w:szCs w:val="44"/>
        </w:rPr>
        <w:t>Bioinformatics – CSE4067</w:t>
      </w:r>
    </w:p>
    <w:p w14:paraId="518F0396" w14:textId="77777777" w:rsidR="008D713F" w:rsidRDefault="008D713F">
      <w:pPr>
        <w:jc w:val="center"/>
      </w:pPr>
    </w:p>
    <w:p w14:paraId="76896808" w14:textId="77777777" w:rsidR="008D713F" w:rsidRDefault="00000000">
      <w:pPr>
        <w:spacing w:after="120"/>
        <w:jc w:val="center"/>
      </w:pPr>
      <w:r>
        <w:rPr>
          <w:b/>
          <w:bCs/>
          <w:sz w:val="40"/>
          <w:szCs w:val="40"/>
        </w:rPr>
        <w:t>J Component Project Report</w:t>
      </w:r>
    </w:p>
    <w:p w14:paraId="1068F33F" w14:textId="77777777" w:rsidR="008D713F" w:rsidRDefault="008D713F">
      <w:pPr>
        <w:jc w:val="center"/>
      </w:pPr>
    </w:p>
    <w:p w14:paraId="2548606D" w14:textId="77777777" w:rsidR="008D713F" w:rsidRDefault="00000000">
      <w:pPr>
        <w:spacing w:before="120" w:after="120"/>
        <w:jc w:val="center"/>
      </w:pPr>
      <w:r>
        <w:rPr>
          <w:i/>
          <w:iCs/>
        </w:rPr>
        <w:t xml:space="preserve">Replication and Validation of the </w:t>
      </w:r>
      <w:proofErr w:type="spellStart"/>
      <w:r>
        <w:rPr>
          <w:i/>
          <w:iCs/>
        </w:rPr>
        <w:t>BDASeq</w:t>
      </w:r>
      <w:proofErr w:type="spellEnd"/>
      <w:r>
        <w:rPr>
          <w:i/>
          <w:iCs/>
        </w:rPr>
        <w:t>® RNA-Seq Pipeline for Cross-Disease Biomarker Discovery in Huntington’s and Alzheimer’s Disease</w:t>
      </w:r>
    </w:p>
    <w:p w14:paraId="64A7F356" w14:textId="77777777" w:rsidR="008D713F" w:rsidRDefault="008D713F">
      <w:pPr>
        <w:jc w:val="center"/>
      </w:pPr>
    </w:p>
    <w:p w14:paraId="1A2F1DDC" w14:textId="77777777" w:rsidR="008D713F" w:rsidRDefault="00000000">
      <w:pPr>
        <w:spacing w:before="60"/>
        <w:jc w:val="center"/>
      </w:pPr>
      <w:r>
        <w:rPr>
          <w:i/>
          <w:iCs/>
        </w:rPr>
        <w:t>By</w:t>
      </w:r>
    </w:p>
    <w:p w14:paraId="1C993ED1" w14:textId="77777777" w:rsidR="008D713F" w:rsidRDefault="008D713F">
      <w:pPr>
        <w:jc w:val="center"/>
      </w:pPr>
    </w:p>
    <w:p w14:paraId="3E0B8CC0" w14:textId="6CBB6BF8" w:rsidR="008D713F" w:rsidRDefault="00000000">
      <w:pPr>
        <w:spacing w:before="60" w:after="60"/>
        <w:jc w:val="center"/>
      </w:pPr>
      <w:r>
        <w:rPr>
          <w:b/>
          <w:bCs/>
        </w:rPr>
        <w:t>22MIA1201</w:t>
      </w:r>
      <w:r>
        <w:rPr>
          <w:b/>
          <w:bCs/>
        </w:rPr>
        <w:tab/>
      </w:r>
      <w:r>
        <w:rPr>
          <w:b/>
          <w:bCs/>
        </w:rPr>
        <w:tab/>
      </w:r>
      <w:r>
        <w:rPr>
          <w:b/>
          <w:bCs/>
        </w:rPr>
        <w:tab/>
      </w:r>
      <w:r>
        <w:rPr>
          <w:b/>
          <w:bCs/>
        </w:rPr>
        <w:tab/>
        <w:t xml:space="preserve">   </w:t>
      </w:r>
      <w:r w:rsidR="00D52EA3">
        <w:rPr>
          <w:b/>
          <w:bCs/>
        </w:rPr>
        <w:t>Palaniappan M</w:t>
      </w:r>
    </w:p>
    <w:p w14:paraId="5C237DC3" w14:textId="77777777" w:rsidR="008D713F" w:rsidRDefault="008D713F">
      <w:pPr>
        <w:jc w:val="center"/>
      </w:pPr>
    </w:p>
    <w:p w14:paraId="7ABB963D" w14:textId="77777777" w:rsidR="008E39F4" w:rsidRPr="001577BA" w:rsidRDefault="008E39F4" w:rsidP="008E39F4">
      <w:pPr>
        <w:jc w:val="center"/>
        <w:rPr>
          <w:color w:val="000000" w:themeColor="text1"/>
          <w:sz w:val="32"/>
          <w:szCs w:val="32"/>
        </w:rPr>
      </w:pPr>
      <w:r w:rsidRPr="001577BA">
        <w:rPr>
          <w:sz w:val="32"/>
          <w:szCs w:val="32"/>
        </w:rPr>
        <w:t>M. Tech Business Analytics (5 Year Integrated)</w:t>
      </w:r>
    </w:p>
    <w:p w14:paraId="06921044" w14:textId="77777777" w:rsidR="008D713F" w:rsidRDefault="008D713F">
      <w:pPr>
        <w:jc w:val="center"/>
      </w:pPr>
    </w:p>
    <w:p w14:paraId="2C86B36E" w14:textId="77777777" w:rsidR="008D713F" w:rsidRDefault="00000000">
      <w:pPr>
        <w:spacing w:before="120"/>
        <w:jc w:val="center"/>
      </w:pPr>
      <w:r>
        <w:rPr>
          <w:i/>
          <w:iCs/>
        </w:rPr>
        <w:t>Submitted to</w:t>
      </w:r>
    </w:p>
    <w:p w14:paraId="469E5BAD" w14:textId="77777777" w:rsidR="008D713F" w:rsidRDefault="008D713F">
      <w:pPr>
        <w:jc w:val="center"/>
      </w:pPr>
    </w:p>
    <w:p w14:paraId="442FD816" w14:textId="77777777" w:rsidR="008D713F" w:rsidRDefault="00000000">
      <w:pPr>
        <w:jc w:val="center"/>
      </w:pPr>
      <w:r>
        <w:rPr>
          <w:b/>
          <w:bCs/>
        </w:rPr>
        <w:t xml:space="preserve">Dr. </w:t>
      </w:r>
      <w:proofErr w:type="spellStart"/>
      <w:r>
        <w:rPr>
          <w:b/>
          <w:bCs/>
        </w:rPr>
        <w:t>Softya</w:t>
      </w:r>
      <w:proofErr w:type="spellEnd"/>
      <w:r>
        <w:rPr>
          <w:b/>
          <w:bCs/>
        </w:rPr>
        <w:t xml:space="preserve"> Sebastian</w:t>
      </w:r>
    </w:p>
    <w:p w14:paraId="7A818E78" w14:textId="77777777" w:rsidR="008D713F" w:rsidRDefault="00000000">
      <w:pPr>
        <w:jc w:val="center"/>
      </w:pPr>
      <w:r>
        <w:t>Assistant Professor,</w:t>
      </w:r>
    </w:p>
    <w:p w14:paraId="57438090" w14:textId="77777777" w:rsidR="008D713F" w:rsidRDefault="00000000">
      <w:pPr>
        <w:jc w:val="center"/>
      </w:pPr>
      <w:r>
        <w:t>SCOPE, VIT - Chennai</w:t>
      </w:r>
    </w:p>
    <w:p w14:paraId="53A7EE9A" w14:textId="77777777" w:rsidR="008D713F" w:rsidRDefault="008D713F">
      <w:pPr>
        <w:jc w:val="center"/>
      </w:pPr>
    </w:p>
    <w:p w14:paraId="6C795F10" w14:textId="77777777" w:rsidR="008D713F" w:rsidRDefault="00000000">
      <w:pPr>
        <w:jc w:val="center"/>
      </w:pPr>
      <w:r>
        <w:rPr>
          <w:b/>
          <w:bCs/>
        </w:rPr>
        <w:t>School of Computer Science and Engineering</w:t>
      </w:r>
    </w:p>
    <w:p w14:paraId="0740CFD8" w14:textId="77777777" w:rsidR="008D713F" w:rsidRPr="008E39F4" w:rsidRDefault="00000000">
      <w:pPr>
        <w:jc w:val="center"/>
      </w:pPr>
      <w:r w:rsidRPr="008E39F4">
        <w:t>VIT Chennai</w:t>
      </w:r>
    </w:p>
    <w:p w14:paraId="5C723BA7" w14:textId="77777777" w:rsidR="008D713F" w:rsidRDefault="00000000">
      <w:pPr>
        <w:jc w:val="center"/>
      </w:pPr>
      <w:proofErr w:type="spellStart"/>
      <w:r>
        <w:t>Vandalur</w:t>
      </w:r>
      <w:proofErr w:type="spellEnd"/>
      <w:r>
        <w:t xml:space="preserve"> - </w:t>
      </w:r>
      <w:proofErr w:type="spellStart"/>
      <w:r>
        <w:t>Kelambakkam</w:t>
      </w:r>
      <w:proofErr w:type="spellEnd"/>
      <w:r>
        <w:t xml:space="preserve"> Road, Chennai - 600 127</w:t>
      </w:r>
    </w:p>
    <w:p w14:paraId="256759A0" w14:textId="77777777" w:rsidR="008D713F" w:rsidRDefault="008D713F">
      <w:pPr>
        <w:jc w:val="center"/>
      </w:pPr>
    </w:p>
    <w:p w14:paraId="08E60E71" w14:textId="77777777" w:rsidR="008D713F" w:rsidRPr="008E39F4" w:rsidRDefault="00000000">
      <w:pPr>
        <w:jc w:val="center"/>
      </w:pPr>
      <w:r w:rsidRPr="008E39F4">
        <w:t>WINTER SEMESTER 25-26</w:t>
      </w:r>
    </w:p>
    <w:p w14:paraId="415941D7" w14:textId="77777777" w:rsidR="008E39F4" w:rsidRDefault="008E39F4">
      <w:pPr>
        <w:jc w:val="center"/>
      </w:pPr>
    </w:p>
    <w:p w14:paraId="7CC4CB2E" w14:textId="77777777" w:rsidR="008D713F" w:rsidRDefault="008D713F">
      <w:pPr>
        <w:jc w:val="center"/>
      </w:pPr>
    </w:p>
    <w:p w14:paraId="24B3A484" w14:textId="6C8AA753" w:rsidR="008D713F" w:rsidRDefault="008E39F4">
      <w:pPr>
        <w:spacing w:before="120" w:after="120"/>
        <w:jc w:val="center"/>
      </w:pPr>
      <w:r w:rsidRPr="00A97AC9">
        <w:rPr>
          <w:b/>
          <w:noProof/>
          <w:color w:val="000000" w:themeColor="text1"/>
          <w:sz w:val="36"/>
          <w:szCs w:val="32"/>
        </w:rPr>
        <w:drawing>
          <wp:inline distT="0" distB="0" distL="0" distR="0" wp14:anchorId="1E4214C3" wp14:editId="68234F2F">
            <wp:extent cx="3303270" cy="933450"/>
            <wp:effectExtent l="0" t="0" r="0" b="0"/>
            <wp:docPr id="2" name="Picture 17" descr="Description: C:\Users\ADMIN\Downloads\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scription: C:\Users\ADMIN\Downloads\VIT new logo.png"/>
                    <pic:cNvPicPr>
                      <a:picLocks noChangeAspect="1" noChangeArrowheads="1"/>
                    </pic:cNvPicPr>
                  </pic:nvPicPr>
                  <pic:blipFill>
                    <a:blip r:embed="rId5" cstate="print"/>
                    <a:srcRect l="2058" t="15584" r="1469" b="4329"/>
                    <a:stretch>
                      <a:fillRect/>
                    </a:stretch>
                  </pic:blipFill>
                  <pic:spPr>
                    <a:xfrm>
                      <a:off x="0" y="0"/>
                      <a:ext cx="3310067" cy="935355"/>
                    </a:xfrm>
                    <a:prstGeom prst="rect">
                      <a:avLst/>
                    </a:prstGeom>
                    <a:noFill/>
                    <a:ln w="9525">
                      <a:noFill/>
                      <a:miter lim="800000"/>
                      <a:headEnd/>
                      <a:tailEnd/>
                    </a:ln>
                  </pic:spPr>
                </pic:pic>
              </a:graphicData>
            </a:graphic>
          </wp:inline>
        </w:drawing>
      </w:r>
    </w:p>
    <w:p w14:paraId="1248BA1A" w14:textId="77777777" w:rsidR="008E39F4" w:rsidRDefault="008E39F4">
      <w:pPr>
        <w:spacing w:before="120" w:after="120"/>
        <w:jc w:val="center"/>
      </w:pPr>
    </w:p>
    <w:p w14:paraId="32AEDC5B" w14:textId="77777777" w:rsidR="00D52EA3" w:rsidRDefault="00D52EA3">
      <w:pPr>
        <w:jc w:val="center"/>
        <w:rPr>
          <w:i/>
          <w:iCs/>
        </w:rPr>
      </w:pPr>
    </w:p>
    <w:p w14:paraId="1ABB18B9" w14:textId="3A10D457" w:rsidR="008D713F" w:rsidRDefault="00000000">
      <w:pPr>
        <w:jc w:val="center"/>
      </w:pPr>
      <w:r>
        <w:rPr>
          <w:i/>
          <w:iCs/>
        </w:rPr>
        <w:t>April 2026</w:t>
      </w:r>
    </w:p>
    <w:p w14:paraId="16B03099" w14:textId="77777777" w:rsidR="008D713F" w:rsidRDefault="00000000">
      <w:r>
        <w:br w:type="page"/>
      </w:r>
    </w:p>
    <w:p w14:paraId="00452AB0" w14:textId="77777777" w:rsidR="008D713F" w:rsidRDefault="00000000">
      <w:pPr>
        <w:spacing w:after="200"/>
        <w:jc w:val="center"/>
      </w:pPr>
      <w:r>
        <w:rPr>
          <w:b/>
          <w:bCs/>
          <w:sz w:val="32"/>
          <w:szCs w:val="32"/>
          <w:u w:val="single"/>
        </w:rPr>
        <w:lastRenderedPageBreak/>
        <w:t>ABSTRACT</w:t>
      </w:r>
    </w:p>
    <w:p w14:paraId="788351E3" w14:textId="77777777" w:rsidR="008D713F" w:rsidRDefault="00000000">
      <w:pPr>
        <w:spacing w:before="80" w:after="80"/>
        <w:jc w:val="both"/>
      </w:pPr>
      <w:r>
        <w:t xml:space="preserve">This report presents the replication and cross-disease extension of the </w:t>
      </w:r>
      <w:proofErr w:type="spellStart"/>
      <w:r>
        <w:t>BDASeq</w:t>
      </w:r>
      <w:proofErr w:type="spellEnd"/>
      <w:r>
        <w:t xml:space="preserve">® (Biomarker Discovery Algorithm for RNA-Seq) pipeline, an integrative transcriptomic analysis platform developed by </w:t>
      </w:r>
      <w:proofErr w:type="spellStart"/>
      <w:r>
        <w:t>BioDecision</w:t>
      </w:r>
      <w:proofErr w:type="spellEnd"/>
      <w:r>
        <w:t xml:space="preserve"> Analytics Ltd. (Brazil). The study focuses on Huntington’s Disease (HD) using the publicly available RNA-Seq dataset GSE64810 from NCBI GEO, comprising post-mortem prefrontal cortex (Brodmann Area 9) samples.</w:t>
      </w:r>
    </w:p>
    <w:p w14:paraId="60E97B42" w14:textId="77777777" w:rsidR="008D713F" w:rsidRDefault="00000000">
      <w:pPr>
        <w:spacing w:before="80" w:after="80"/>
        <w:jc w:val="both"/>
      </w:pPr>
      <w:r>
        <w:t xml:space="preserve">Propensity Score Matching (PSM) was applied to select 20 age-matched controls from a pool of HD patients, mitigating age-induced transcriptional confounding. Quality control and outlier detection were performed using UMAP dimensionality reduction combined with DBSCAN clustering, retaining all 40 samples as inliers. Differential expression analysis (DEA) was conducted using a Recursive Method Combination (RMC) ensemble of three tools — DESeq2, </w:t>
      </w:r>
      <w:proofErr w:type="spellStart"/>
      <w:r>
        <w:t>edgeR</w:t>
      </w:r>
      <w:proofErr w:type="spellEnd"/>
      <w:r>
        <w:t xml:space="preserve">, and </w:t>
      </w:r>
      <w:proofErr w:type="spellStart"/>
      <w:r>
        <w:t>limma-voom</w:t>
      </w:r>
      <w:proofErr w:type="spellEnd"/>
      <w:r>
        <w:t xml:space="preserve"> — employing majority vote consensus. A total of 1,236 differentially expressed genes (DEGs) were identified (788 upregulated, 448 downregulated), with FTH1 confirmed as significantly downregulated (t = -2.522, p = 0.016), replicating the original paper’s key finding.</w:t>
      </w:r>
    </w:p>
    <w:p w14:paraId="782A7C8C" w14:textId="77777777" w:rsidR="008D713F" w:rsidRDefault="00000000">
      <w:pPr>
        <w:spacing w:before="80" w:after="80"/>
        <w:jc w:val="both"/>
      </w:pPr>
      <w:r>
        <w:t xml:space="preserve">Gene Ontology (GO) Biological Process enrichment analysis identified neuroinflammation, metal ion transport, synaptic vesicle exocytosis, and TGF-β signaling as the most significantly perturbed pathways. The pipeline was subsequently extended to Alzheimer’s Disease (AD) using GSE132903, identifying 360 druggable AD targets with only 5 overlapping HD targets, revealing predominantly disease-specific transcriptomic signatures. These findings validate </w:t>
      </w:r>
      <w:proofErr w:type="spellStart"/>
      <w:r>
        <w:t>BDASeq</w:t>
      </w:r>
      <w:proofErr w:type="spellEnd"/>
      <w:r>
        <w:t>® as a reproducible and generalizable transcriptomic analysis framework and position FTH1 as a strong candidate blood biomarker for HD.</w:t>
      </w:r>
    </w:p>
    <w:p w14:paraId="10F90471" w14:textId="77777777" w:rsidR="008D713F" w:rsidRDefault="008D713F">
      <w:pPr>
        <w:spacing w:before="60" w:after="60"/>
      </w:pPr>
    </w:p>
    <w:p w14:paraId="3C2C2703" w14:textId="77777777" w:rsidR="008D713F" w:rsidRDefault="00000000">
      <w:r>
        <w:br w:type="page"/>
      </w:r>
    </w:p>
    <w:p w14:paraId="04E16E44" w14:textId="77777777" w:rsidR="008D713F" w:rsidRDefault="00000000">
      <w:pPr>
        <w:spacing w:before="300" w:after="120"/>
      </w:pPr>
      <w:r>
        <w:rPr>
          <w:b/>
          <w:bCs/>
          <w:sz w:val="32"/>
          <w:szCs w:val="32"/>
        </w:rPr>
        <w:lastRenderedPageBreak/>
        <w:t>1.</w:t>
      </w:r>
      <w:r>
        <w:rPr>
          <w:b/>
          <w:bCs/>
          <w:sz w:val="32"/>
          <w:szCs w:val="32"/>
        </w:rPr>
        <w:tab/>
        <w:t>Introduction</w:t>
      </w:r>
    </w:p>
    <w:p w14:paraId="574FE7D1" w14:textId="77777777" w:rsidR="008D713F" w:rsidRDefault="00000000">
      <w:pPr>
        <w:spacing w:before="200" w:after="80"/>
      </w:pPr>
      <w:r>
        <w:rPr>
          <w:b/>
          <w:bCs/>
        </w:rPr>
        <w:t>a.</w:t>
      </w:r>
      <w:r>
        <w:rPr>
          <w:b/>
          <w:bCs/>
        </w:rPr>
        <w:tab/>
        <w:t>Background</w:t>
      </w:r>
    </w:p>
    <w:p w14:paraId="2F7D10D9" w14:textId="77777777" w:rsidR="008D713F" w:rsidRDefault="00000000">
      <w:pPr>
        <w:spacing w:before="80" w:after="80"/>
        <w:jc w:val="both"/>
      </w:pPr>
      <w:r>
        <w:t>Huntington’s Disease (HD, OMIM 143100) is a rare, fatal, autosomal-dominant monogenic neurodegenerative disorder first described in 1872 by George Huntington. HD is caused by an expansion of cytosine-adenine-guanine (CAG) trinucleotide repeats (&gt;36 repeats) in the first exon of the Huntingtin gene (HTT, locus 4p16.3). The mutant HTT protein (</w:t>
      </w:r>
      <w:proofErr w:type="spellStart"/>
      <w:r>
        <w:t>mHTT</w:t>
      </w:r>
      <w:proofErr w:type="spellEnd"/>
      <w:r>
        <w:t>) triggers progressive motor dysfunction (chorea), neuropsychiatric symptoms, and cognitive decline, ultimately leading to death approximately 15–20 years after symptom onset. HD affects approximately 30,000 individuals in the United States and 1 in 10,000 globally.</w:t>
      </w:r>
    </w:p>
    <w:p w14:paraId="6BFC1917" w14:textId="77777777" w:rsidR="008D713F" w:rsidRDefault="00000000">
      <w:pPr>
        <w:spacing w:before="80" w:after="80"/>
        <w:jc w:val="both"/>
      </w:pPr>
      <w:r>
        <w:t>Alzheimer’s Disease (AD) is the most common neurodegenerative disorder, affecting over 50 million people worldwide. While AD is predominantly polygenic (involving APOE, PSEN1, PSEN2, APP mutations), both HD and AD share convergent pathophysiological mechanisms including neuroinflammation, oxidative stress, impaired metal ion homeostasis, and blood-brain barrier dysfunction. Both diseases currently lack disease-modifying treatments.</w:t>
      </w:r>
    </w:p>
    <w:p w14:paraId="415B7367" w14:textId="77777777" w:rsidR="008D713F" w:rsidRDefault="00000000">
      <w:pPr>
        <w:spacing w:before="80" w:after="80"/>
        <w:jc w:val="both"/>
      </w:pPr>
      <w:r>
        <w:t xml:space="preserve">RNA sequencing (RNA-Seq) has emerged as a powerful tool for identifying differentially expressed genes (DEGs), druggable targets, and potential biomarkers in neurodegenerative diseases. The </w:t>
      </w:r>
      <w:proofErr w:type="spellStart"/>
      <w:r>
        <w:t>BDASeq</w:t>
      </w:r>
      <w:proofErr w:type="spellEnd"/>
      <w:r>
        <w:t>® platform integrates Propensity Score Matching (PSM), UMAP+DBSCAN outlier removal, and an ensemble Recursive Method Combination (RMC) algorithm with eight DEA methods to minimize both Type I (false positive) and Type II (false negative) errors in gene classification.</w:t>
      </w:r>
    </w:p>
    <w:p w14:paraId="6C670D68" w14:textId="77777777" w:rsidR="008D713F" w:rsidRDefault="00000000">
      <w:pPr>
        <w:spacing w:before="200" w:after="80"/>
      </w:pPr>
      <w:r>
        <w:rPr>
          <w:b/>
          <w:bCs/>
        </w:rPr>
        <w:t>b.</w:t>
      </w:r>
      <w:r>
        <w:rPr>
          <w:b/>
          <w:bCs/>
        </w:rPr>
        <w:tab/>
        <w:t>Objective and Goal of the Project</w:t>
      </w:r>
    </w:p>
    <w:p w14:paraId="487A4A90" w14:textId="77777777" w:rsidR="008D713F" w:rsidRDefault="00000000">
      <w:pPr>
        <w:pStyle w:val="ListParagraph"/>
        <w:numPr>
          <w:ilvl w:val="0"/>
          <w:numId w:val="2"/>
        </w:numPr>
        <w:spacing w:before="60" w:after="60"/>
      </w:pPr>
      <w:r>
        <w:t xml:space="preserve">To replicate the complete </w:t>
      </w:r>
      <w:proofErr w:type="spellStart"/>
      <w:r>
        <w:t>BDASeq</w:t>
      </w:r>
      <w:proofErr w:type="spellEnd"/>
      <w:r>
        <w:t>® RNA-Seq pipeline for Huntington’s Disease using the GSE64810 dataset (prefrontal cortex, n=40 post-PSM).</w:t>
      </w:r>
    </w:p>
    <w:p w14:paraId="168B52DA" w14:textId="77777777" w:rsidR="008D713F" w:rsidRDefault="00000000">
      <w:pPr>
        <w:pStyle w:val="ListParagraph"/>
        <w:numPr>
          <w:ilvl w:val="0"/>
          <w:numId w:val="2"/>
        </w:numPr>
        <w:spacing w:before="60" w:after="60"/>
      </w:pPr>
      <w:r>
        <w:t>To validate the key finding of FTH1 downregulation in HD prefrontal cortex (p &lt; 0.05) as reported in Dias Pinto et al. (2025).</w:t>
      </w:r>
    </w:p>
    <w:p w14:paraId="79F6352E" w14:textId="77777777" w:rsidR="008D713F" w:rsidRDefault="00000000">
      <w:pPr>
        <w:pStyle w:val="ListParagraph"/>
        <w:numPr>
          <w:ilvl w:val="0"/>
          <w:numId w:val="2"/>
        </w:numPr>
        <w:spacing w:before="60" w:after="60"/>
      </w:pPr>
      <w:r>
        <w:t xml:space="preserve">To identify differentially expressed genes (DEGs) using an RMC ensemble of DESeq2, </w:t>
      </w:r>
      <w:proofErr w:type="spellStart"/>
      <w:r>
        <w:t>edgeR</w:t>
      </w:r>
      <w:proofErr w:type="spellEnd"/>
      <w:r>
        <w:t xml:space="preserve">, and </w:t>
      </w:r>
      <w:proofErr w:type="spellStart"/>
      <w:r>
        <w:t>limma-voom</w:t>
      </w:r>
      <w:proofErr w:type="spellEnd"/>
      <w:r>
        <w:t>, and perform GO Biological Process enrichment on the top druggable targets.</w:t>
      </w:r>
    </w:p>
    <w:p w14:paraId="75632A8E" w14:textId="77777777" w:rsidR="008D713F" w:rsidRDefault="00000000">
      <w:pPr>
        <w:pStyle w:val="ListParagraph"/>
        <w:numPr>
          <w:ilvl w:val="0"/>
          <w:numId w:val="2"/>
        </w:numPr>
        <w:spacing w:before="60" w:after="60"/>
      </w:pPr>
      <w:r>
        <w:t xml:space="preserve">To extend the </w:t>
      </w:r>
      <w:proofErr w:type="spellStart"/>
      <w:r>
        <w:t>BDASeq</w:t>
      </w:r>
      <w:proofErr w:type="spellEnd"/>
      <w:r>
        <w:t>® pipeline to Alzheimer’s Disease (GSE132903) and compare druggable target landscapes between HD and AD to identify shared and disease-specific therapeutic targets.</w:t>
      </w:r>
    </w:p>
    <w:p w14:paraId="78648BBC" w14:textId="77777777" w:rsidR="008D713F" w:rsidRDefault="00000000">
      <w:pPr>
        <w:pStyle w:val="ListParagraph"/>
        <w:numPr>
          <w:ilvl w:val="0"/>
          <w:numId w:val="2"/>
        </w:numPr>
        <w:spacing w:before="60" w:after="60"/>
      </w:pPr>
      <w:r>
        <w:t>To characterize the cross-disease transcriptomic overlap and propose FTH1 as a candidate pan-neurodegeneration biomarker.</w:t>
      </w:r>
    </w:p>
    <w:p w14:paraId="445198C4" w14:textId="77777777" w:rsidR="008D713F" w:rsidRDefault="00000000">
      <w:pPr>
        <w:spacing w:before="200" w:after="80"/>
      </w:pPr>
      <w:r>
        <w:rPr>
          <w:b/>
          <w:bCs/>
        </w:rPr>
        <w:t>c.</w:t>
      </w:r>
      <w:r>
        <w:rPr>
          <w:b/>
          <w:bCs/>
        </w:rPr>
        <w:tab/>
        <w:t>Problem Statement</w:t>
      </w:r>
    </w:p>
    <w:p w14:paraId="095E7F95" w14:textId="77777777" w:rsidR="008D713F" w:rsidRDefault="00000000">
      <w:pPr>
        <w:spacing w:before="80" w:after="80"/>
        <w:jc w:val="both"/>
      </w:pPr>
      <w:r>
        <w:lastRenderedPageBreak/>
        <w:t xml:space="preserve">Despite 153 years since HD’s first description and over 256 clinical trials, no disease-modifying treatment exists for HD. Current FDA-approved drugs (tetrabenazine, </w:t>
      </w:r>
      <w:proofErr w:type="spellStart"/>
      <w:r>
        <w:t>deutetrabenazine</w:t>
      </w:r>
      <w:proofErr w:type="spellEnd"/>
      <w:r>
        <w:t xml:space="preserve">, </w:t>
      </w:r>
      <w:proofErr w:type="spellStart"/>
      <w:r>
        <w:t>valbenazine</w:t>
      </w:r>
      <w:proofErr w:type="spellEnd"/>
      <w:r>
        <w:t>) address only chorea symptoms and carry significant adverse effects including depression, sedation, and suicidal ideation. The failure to identify reliable druggable targets and blood biomarkers is attributed to: (1) unmatched case-control age distributions creating transcriptomic confounders, (2) reliance on single differential expression analysis methods introducing systematic bias, and (3) lack of validated, reproducible bioinformatics pipelines. Furthermore, the transcriptomic overlap between HD and related neurodegenerative disorders like Alzheimer’s Disease remains largely unexplored, missing potential repositioning opportunities.</w:t>
      </w:r>
    </w:p>
    <w:p w14:paraId="09512B95" w14:textId="77777777" w:rsidR="008D713F" w:rsidRDefault="00000000">
      <w:pPr>
        <w:spacing w:before="200" w:after="80"/>
      </w:pPr>
      <w:r>
        <w:rPr>
          <w:b/>
          <w:bCs/>
        </w:rPr>
        <w:t>d.</w:t>
      </w:r>
      <w:r>
        <w:rPr>
          <w:b/>
          <w:bCs/>
        </w:rPr>
        <w:tab/>
        <w:t>Motivation</w:t>
      </w:r>
    </w:p>
    <w:p w14:paraId="0A01AC4E" w14:textId="77777777" w:rsidR="008D713F" w:rsidRDefault="00000000">
      <w:pPr>
        <w:spacing w:before="80" w:after="80"/>
        <w:jc w:val="both"/>
      </w:pPr>
      <w:r>
        <w:t xml:space="preserve">The </w:t>
      </w:r>
      <w:proofErr w:type="spellStart"/>
      <w:r>
        <w:t>BDASeq</w:t>
      </w:r>
      <w:proofErr w:type="spellEnd"/>
      <w:r>
        <w:t xml:space="preserve">® paper (Dias Pinto et al., Cells, 2025) represents the most comprehensive HD transcriptomic study to date, combining 12 </w:t>
      </w:r>
      <w:proofErr w:type="spellStart"/>
      <w:r>
        <w:t>BioProjects</w:t>
      </w:r>
      <w:proofErr w:type="spellEnd"/>
      <w:r>
        <w:t xml:space="preserve"> (n=292 samples post-PSM) and identifying 394 druggable targets and 18 blood biomarkers. The novelty of the RMC ensemble approach and the identification of FTH1 as a dual brain-blood biomarker motivated independent replication using Python-based tools. The cross-disease extension to Alzheimer’s Disease was motivated by the convergent mechanisms of neuroinflammation and metal ion dysregulation shared between HD and AD, offering potential drug repositioning opportunities. Validating </w:t>
      </w:r>
      <w:proofErr w:type="spellStart"/>
      <w:r>
        <w:t>BDASeq</w:t>
      </w:r>
      <w:proofErr w:type="spellEnd"/>
      <w:r>
        <w:t>® reproducibility in Python is important for democratizing access to this pipeline beyond R-centric computational environments.</w:t>
      </w:r>
    </w:p>
    <w:p w14:paraId="7D3BD026" w14:textId="77777777" w:rsidR="008D713F" w:rsidRDefault="00000000">
      <w:pPr>
        <w:spacing w:before="200" w:after="80"/>
      </w:pPr>
      <w:r>
        <w:rPr>
          <w:b/>
          <w:bCs/>
        </w:rPr>
        <w:t>e.</w:t>
      </w:r>
      <w:r>
        <w:rPr>
          <w:b/>
          <w:bCs/>
        </w:rPr>
        <w:tab/>
        <w:t>Challenges</w:t>
      </w:r>
    </w:p>
    <w:p w14:paraId="7AAD3B43" w14:textId="77777777" w:rsidR="008D713F" w:rsidRDefault="00000000">
      <w:pPr>
        <w:pStyle w:val="ListParagraph"/>
        <w:numPr>
          <w:ilvl w:val="0"/>
          <w:numId w:val="2"/>
        </w:numPr>
        <w:spacing w:before="60" w:after="60"/>
      </w:pPr>
      <w:r>
        <w:t xml:space="preserve">Computational resource constraints limited the full 8-method RMC to a 3-method subset (DESeq2, </w:t>
      </w:r>
      <w:proofErr w:type="spellStart"/>
      <w:r>
        <w:t>edgeR</w:t>
      </w:r>
      <w:proofErr w:type="spellEnd"/>
      <w:r>
        <w:t xml:space="preserve">, </w:t>
      </w:r>
      <w:proofErr w:type="spellStart"/>
      <w:r>
        <w:t>limma-voom</w:t>
      </w:r>
      <w:proofErr w:type="spellEnd"/>
      <w:r>
        <w:t xml:space="preserve">); methods such as </w:t>
      </w:r>
      <w:proofErr w:type="spellStart"/>
      <w:r>
        <w:t>NOISeq</w:t>
      </w:r>
      <w:proofErr w:type="spellEnd"/>
      <w:r>
        <w:t xml:space="preserve">, </w:t>
      </w:r>
      <w:proofErr w:type="spellStart"/>
      <w:r>
        <w:t>EBSeq</w:t>
      </w:r>
      <w:proofErr w:type="spellEnd"/>
      <w:r>
        <w:t xml:space="preserve">, and </w:t>
      </w:r>
      <w:proofErr w:type="spellStart"/>
      <w:r>
        <w:t>dearseq</w:t>
      </w:r>
      <w:proofErr w:type="spellEnd"/>
      <w:r>
        <w:t xml:space="preserve"> require substantial RAM.</w:t>
      </w:r>
    </w:p>
    <w:p w14:paraId="62C7641C" w14:textId="77777777" w:rsidR="008D713F" w:rsidRDefault="00000000">
      <w:pPr>
        <w:pStyle w:val="ListParagraph"/>
        <w:numPr>
          <w:ilvl w:val="0"/>
          <w:numId w:val="2"/>
        </w:numPr>
        <w:spacing w:before="60" w:after="60"/>
      </w:pPr>
      <w:r>
        <w:t xml:space="preserve">Age matching via PSM in Python required custom implementation equivalent to R’s </w:t>
      </w:r>
      <w:proofErr w:type="spellStart"/>
      <w:r>
        <w:t>MatchIt</w:t>
      </w:r>
      <w:proofErr w:type="spellEnd"/>
      <w:r>
        <w:t xml:space="preserve"> package, necessitating careful validation of the Kolmogorov-Smirnov test to confirm post-match equivalence.</w:t>
      </w:r>
    </w:p>
    <w:p w14:paraId="1658803C" w14:textId="77777777" w:rsidR="008D713F" w:rsidRDefault="00000000">
      <w:pPr>
        <w:pStyle w:val="ListParagraph"/>
        <w:numPr>
          <w:ilvl w:val="0"/>
          <w:numId w:val="2"/>
        </w:numPr>
        <w:spacing w:before="60" w:after="60"/>
      </w:pPr>
      <w:r>
        <w:t xml:space="preserve">Batch effect correction between multi-cohort GEO datasets required </w:t>
      </w:r>
      <w:proofErr w:type="spellStart"/>
      <w:r>
        <w:t>ComBat</w:t>
      </w:r>
      <w:proofErr w:type="spellEnd"/>
      <w:r>
        <w:t xml:space="preserve">-Seq adaptation in Python (using </w:t>
      </w:r>
      <w:proofErr w:type="spellStart"/>
      <w:r>
        <w:t>pyComBat</w:t>
      </w:r>
      <w:proofErr w:type="spellEnd"/>
      <w:r>
        <w:t xml:space="preserve">), which differs from the R-native implementation in </w:t>
      </w:r>
      <w:proofErr w:type="spellStart"/>
      <w:r>
        <w:t>BDASeq</w:t>
      </w:r>
      <w:proofErr w:type="spellEnd"/>
      <w:r>
        <w:t>®.</w:t>
      </w:r>
    </w:p>
    <w:p w14:paraId="5C3C2D26" w14:textId="77777777" w:rsidR="008D713F" w:rsidRDefault="00000000">
      <w:pPr>
        <w:pStyle w:val="ListParagraph"/>
        <w:numPr>
          <w:ilvl w:val="0"/>
          <w:numId w:val="2"/>
        </w:numPr>
        <w:spacing w:before="60" w:after="60"/>
      </w:pPr>
      <w:r>
        <w:t xml:space="preserve">The GSE64810 dataset had zero DBSCAN outliers (all 40 samples clustered cleanly), making it impossible to demonstrate outlier removal — a core </w:t>
      </w:r>
      <w:proofErr w:type="spellStart"/>
      <w:r>
        <w:t>BDASeq</w:t>
      </w:r>
      <w:proofErr w:type="spellEnd"/>
      <w:r>
        <w:t>® feature requiring larger, multi-cohort datasets.</w:t>
      </w:r>
    </w:p>
    <w:p w14:paraId="0B9D0338" w14:textId="77777777" w:rsidR="008D713F" w:rsidRDefault="00000000">
      <w:pPr>
        <w:pStyle w:val="ListParagraph"/>
        <w:numPr>
          <w:ilvl w:val="0"/>
          <w:numId w:val="2"/>
        </w:numPr>
        <w:spacing w:before="60" w:after="60"/>
      </w:pPr>
      <w:r>
        <w:lastRenderedPageBreak/>
        <w:t>Cross-disease comparison required alignment of gene annotation versions (ENSEMBL release 108) between the HD and AD datasets to ensure consistent gene ID mapping.</w:t>
      </w:r>
    </w:p>
    <w:p w14:paraId="21912ADA" w14:textId="77777777" w:rsidR="008D713F" w:rsidRDefault="008D713F">
      <w:pPr>
        <w:spacing w:before="60" w:after="60"/>
      </w:pPr>
    </w:p>
    <w:p w14:paraId="5925A6D0" w14:textId="77777777" w:rsidR="008D713F" w:rsidRDefault="00000000">
      <w:pPr>
        <w:spacing w:before="300" w:after="120"/>
      </w:pPr>
      <w:r>
        <w:rPr>
          <w:b/>
          <w:bCs/>
          <w:sz w:val="32"/>
          <w:szCs w:val="32"/>
        </w:rPr>
        <w:t>2.</w:t>
      </w:r>
      <w:r>
        <w:rPr>
          <w:b/>
          <w:bCs/>
          <w:sz w:val="32"/>
          <w:szCs w:val="32"/>
        </w:rPr>
        <w:tab/>
        <w:t>Review of Related Literature</w:t>
      </w:r>
    </w:p>
    <w:p w14:paraId="147D6D8E" w14:textId="77777777" w:rsidR="008D713F" w:rsidRDefault="00000000">
      <w:pPr>
        <w:spacing w:before="80" w:after="80"/>
        <w:jc w:val="both"/>
      </w:pPr>
      <w:r>
        <w:t xml:space="preserve">The transcriptomic landscape of Huntington’s Disease has been extensively studied since the identification of the HTT gene in 1993. However, the fragmentation of analytical methodologies across independent studies has produced inconsistent DEG lists and failed to yield clinically useful biomarkers. The following review synthesizes the most influential RNA-Seq studies in HD and AD, highlighting their methodological contributions and limitations that motivated the development of </w:t>
      </w:r>
      <w:proofErr w:type="spellStart"/>
      <w:r>
        <w:t>BDASeq</w:t>
      </w:r>
      <w:proofErr w:type="spellEnd"/>
      <w:r>
        <w:t>®.</w:t>
      </w:r>
    </w:p>
    <w:p w14:paraId="2AE09AF5" w14:textId="77777777" w:rsidR="008D713F" w:rsidRDefault="00000000">
      <w:pPr>
        <w:spacing w:before="80" w:after="80"/>
        <w:jc w:val="both"/>
      </w:pPr>
      <w:proofErr w:type="spellStart"/>
      <w:r>
        <w:t>Labadorf</w:t>
      </w:r>
      <w:proofErr w:type="spellEnd"/>
      <w:r>
        <w:t xml:space="preserve"> et al. (2015) performed one of the first large-scale RNA-Seq studies of HD prefrontal cortex (PRJNA271929), identifying extensive upregulation of inflammatory and developmental genes. However, control samples were significantly older than HD cases (mean 80.8 vs. 57.9 years), introducing age-confounded transcriptional signatures. Agus et al. (2019) extended the analysis to caudate nucleus tissue, revealing dramatic transcriptional changes in prodromal HD, but relied solely on DESeq2 for differential expression analysis. Lin et al. (2016) demonstrated widespread aberrant alternative splicing in HD brain, adding a layer of post-transcriptional dysregulation not captured by standard count-based methods. Wake et al. (2016) applied small RNA sequencing to identify novel miRNA signatures in HD post-mortem brain, identifying disease-relevant regulatory networks.</w:t>
      </w:r>
    </w:p>
    <w:p w14:paraId="05A56F97" w14:textId="77777777" w:rsidR="008D713F" w:rsidRDefault="00000000">
      <w:pPr>
        <w:spacing w:before="80" w:after="80"/>
        <w:jc w:val="both"/>
      </w:pPr>
      <w:r>
        <w:t>In the Alzheimer’s Disease domain, Dang et al. (2022) performed single-cell transcriptomic analysis identifying FTH1- and SAT1-induced astrocytic ferroptosis in AD, directly linking FTH1 to neurodegeneration. This cross-disease relevance of FTH1 provides a key molecular bridge between HD and AD. Hensman Moss et al. (2017) demonstrated that HD blood and brain share a common gene expression pattern with an immune signature overlapping with AD, supporting the rationale for cross-disease comparison.</w:t>
      </w:r>
    </w:p>
    <w:p w14:paraId="36B6AB61" w14:textId="77777777" w:rsidR="008D713F" w:rsidRDefault="00000000">
      <w:pPr>
        <w:spacing w:before="80" w:after="80"/>
        <w:jc w:val="both"/>
      </w:pPr>
      <w:r>
        <w:t xml:space="preserve">The </w:t>
      </w:r>
      <w:proofErr w:type="spellStart"/>
      <w:r>
        <w:t>BDASeq</w:t>
      </w:r>
      <w:proofErr w:type="spellEnd"/>
      <w:r>
        <w:t xml:space="preserve">® platform (Dias Pinto et al., 2025) addresses the systematic limitations of prior studies by integrating PSM age-matching, UMAP+DBSCAN outlier removal, and an 8-method RMC ensemble DEA. This study is the first to apply </w:t>
      </w:r>
      <w:proofErr w:type="spellStart"/>
      <w:r>
        <w:t>BDASeq</w:t>
      </w:r>
      <w:proofErr w:type="spellEnd"/>
      <w:r>
        <w:t xml:space="preserve">® to HD at scale (n=292 post-PSM samples from 12 </w:t>
      </w:r>
      <w:proofErr w:type="spellStart"/>
      <w:r>
        <w:t>BioProjects</w:t>
      </w:r>
      <w:proofErr w:type="spellEnd"/>
      <w:r>
        <w:t>), identifying 5,834 DEGs, 394 druggable targets, and FTH1 as the sole gene differentially expressed in both prefrontal cortex and peripheral blood.</w:t>
      </w:r>
    </w:p>
    <w:p w14:paraId="18D97292" w14:textId="77777777" w:rsidR="008D713F" w:rsidRDefault="008D713F">
      <w:pPr>
        <w:spacing w:before="60" w:after="60"/>
      </w:pPr>
    </w:p>
    <w:p w14:paraId="690D05B5" w14:textId="77777777" w:rsidR="008D713F" w:rsidRDefault="00000000">
      <w:pPr>
        <w:spacing w:before="120" w:after="80"/>
      </w:pPr>
      <w:r>
        <w:rPr>
          <w:b/>
          <w:bCs/>
        </w:rPr>
        <w:t>Summary Table of Reviewed Papers</w:t>
      </w:r>
    </w:p>
    <w:tbl>
      <w:tblPr>
        <w:tblStyle w:val="TableGrid"/>
        <w:tblW w:w="10080" w:type="dxa"/>
        <w:tblLook w:val="0000" w:firstRow="0" w:lastRow="0" w:firstColumn="0" w:lastColumn="0" w:noHBand="0" w:noVBand="0"/>
      </w:tblPr>
      <w:tblGrid>
        <w:gridCol w:w="409"/>
        <w:gridCol w:w="602"/>
        <w:gridCol w:w="1599"/>
        <w:gridCol w:w="2494"/>
        <w:gridCol w:w="1719"/>
        <w:gridCol w:w="1444"/>
        <w:gridCol w:w="1813"/>
      </w:tblGrid>
      <w:tr w:rsidR="00A106A4" w:rsidRPr="00E5000A" w14:paraId="72DF554C" w14:textId="77777777" w:rsidTr="0077408D">
        <w:tc>
          <w:tcPr>
            <w:tcW w:w="360" w:type="dxa"/>
          </w:tcPr>
          <w:p w14:paraId="68B6226A" w14:textId="77777777" w:rsidR="00A106A4" w:rsidRPr="00E5000A" w:rsidRDefault="00A106A4" w:rsidP="0077408D">
            <w:r w:rsidRPr="00E5000A">
              <w:t>#</w:t>
            </w:r>
          </w:p>
        </w:tc>
        <w:tc>
          <w:tcPr>
            <w:tcW w:w="560" w:type="dxa"/>
          </w:tcPr>
          <w:p w14:paraId="2E531D51" w14:textId="77777777" w:rsidR="00A106A4" w:rsidRPr="00E5000A" w:rsidRDefault="00A106A4" w:rsidP="0077408D">
            <w:r w:rsidRPr="00E5000A">
              <w:t>Yr</w:t>
            </w:r>
          </w:p>
        </w:tc>
        <w:tc>
          <w:tcPr>
            <w:tcW w:w="1800" w:type="dxa"/>
          </w:tcPr>
          <w:p w14:paraId="459879FA" w14:textId="77777777" w:rsidR="00A106A4" w:rsidRPr="00E5000A" w:rsidRDefault="00A106A4" w:rsidP="0077408D">
            <w:r w:rsidRPr="00E5000A">
              <w:t>Authors</w:t>
            </w:r>
          </w:p>
        </w:tc>
        <w:tc>
          <w:tcPr>
            <w:tcW w:w="3000" w:type="dxa"/>
          </w:tcPr>
          <w:p w14:paraId="058C4597" w14:textId="77777777" w:rsidR="00A106A4" w:rsidRPr="00E5000A" w:rsidRDefault="00A106A4" w:rsidP="0077408D">
            <w:r w:rsidRPr="00E5000A">
              <w:t>Title</w:t>
            </w:r>
          </w:p>
        </w:tc>
        <w:tc>
          <w:tcPr>
            <w:tcW w:w="1400" w:type="dxa"/>
          </w:tcPr>
          <w:p w14:paraId="71565631" w14:textId="77777777" w:rsidR="00A106A4" w:rsidRPr="00E5000A" w:rsidRDefault="00A106A4" w:rsidP="0077408D">
            <w:r w:rsidRPr="00E5000A">
              <w:t>Journal</w:t>
            </w:r>
          </w:p>
        </w:tc>
        <w:tc>
          <w:tcPr>
            <w:tcW w:w="960" w:type="dxa"/>
          </w:tcPr>
          <w:p w14:paraId="183599AD" w14:textId="77777777" w:rsidR="00A106A4" w:rsidRPr="00E5000A" w:rsidRDefault="00A106A4" w:rsidP="0077408D">
            <w:r w:rsidRPr="00E5000A">
              <w:t>Theme</w:t>
            </w:r>
          </w:p>
        </w:tc>
        <w:tc>
          <w:tcPr>
            <w:tcW w:w="2000" w:type="dxa"/>
          </w:tcPr>
          <w:p w14:paraId="5B554FB2" w14:textId="77777777" w:rsidR="00A106A4" w:rsidRPr="00E5000A" w:rsidRDefault="00A106A4" w:rsidP="0077408D">
            <w:r w:rsidRPr="00E5000A">
              <w:t>Contribution</w:t>
            </w:r>
          </w:p>
        </w:tc>
      </w:tr>
      <w:tr w:rsidR="00A106A4" w:rsidRPr="00E5000A" w14:paraId="33E7D09C" w14:textId="77777777" w:rsidTr="0077408D">
        <w:tc>
          <w:tcPr>
            <w:tcW w:w="360" w:type="dxa"/>
          </w:tcPr>
          <w:p w14:paraId="7CD84B8D" w14:textId="77777777" w:rsidR="00A106A4" w:rsidRPr="00E5000A" w:rsidRDefault="00A106A4" w:rsidP="0077408D">
            <w:r w:rsidRPr="00E5000A">
              <w:t>1</w:t>
            </w:r>
          </w:p>
        </w:tc>
        <w:tc>
          <w:tcPr>
            <w:tcW w:w="560" w:type="dxa"/>
          </w:tcPr>
          <w:p w14:paraId="10D765AC" w14:textId="77777777" w:rsidR="00A106A4" w:rsidRPr="00E5000A" w:rsidRDefault="00A106A4" w:rsidP="0077408D">
            <w:r w:rsidRPr="00E5000A">
              <w:t>2025</w:t>
            </w:r>
          </w:p>
        </w:tc>
        <w:tc>
          <w:tcPr>
            <w:tcW w:w="1800" w:type="dxa"/>
          </w:tcPr>
          <w:p w14:paraId="32643E4B" w14:textId="77777777" w:rsidR="00A106A4" w:rsidRPr="00E5000A" w:rsidRDefault="00A106A4" w:rsidP="0077408D">
            <w:r w:rsidRPr="00E5000A">
              <w:t xml:space="preserve">Dias Pinto, J.R.; </w:t>
            </w:r>
            <w:proofErr w:type="spellStart"/>
            <w:r w:rsidRPr="00E5000A">
              <w:t>Faustinoni</w:t>
            </w:r>
            <w:proofErr w:type="spellEnd"/>
            <w:r w:rsidRPr="00E5000A">
              <w:t xml:space="preserve"> Neto, B.; Munhoz, L.; </w:t>
            </w:r>
            <w:proofErr w:type="spellStart"/>
            <w:r w:rsidRPr="00E5000A">
              <w:t>Kerkis</w:t>
            </w:r>
            <w:proofErr w:type="spellEnd"/>
            <w:r w:rsidRPr="00E5000A">
              <w:t>, I.; Araldi, R.P.</w:t>
            </w:r>
          </w:p>
        </w:tc>
        <w:tc>
          <w:tcPr>
            <w:tcW w:w="3000" w:type="dxa"/>
          </w:tcPr>
          <w:p w14:paraId="4AB68FAC" w14:textId="77777777" w:rsidR="00A106A4" w:rsidRPr="00E5000A" w:rsidRDefault="00A106A4" w:rsidP="0077408D">
            <w:r w:rsidRPr="00E5000A">
              <w:t>From Brain to Blood: Uncovering Potential Therapeutical Targets and Biomarkers for Huntington's Disease Using an Integrative RNA-Seq Analytical Platform (</w:t>
            </w:r>
            <w:proofErr w:type="spellStart"/>
            <w:r w:rsidRPr="00E5000A">
              <w:t>BDASeq</w:t>
            </w:r>
            <w:proofErr w:type="spellEnd"/>
            <w:r w:rsidRPr="00E5000A">
              <w:t>®)</w:t>
            </w:r>
          </w:p>
        </w:tc>
        <w:tc>
          <w:tcPr>
            <w:tcW w:w="1400" w:type="dxa"/>
          </w:tcPr>
          <w:p w14:paraId="58B29DD0" w14:textId="77777777" w:rsidR="00A106A4" w:rsidRPr="00E5000A" w:rsidRDefault="00A106A4" w:rsidP="0077408D">
            <w:r w:rsidRPr="00E5000A">
              <w:t>Cells, 14, 976</w:t>
            </w:r>
          </w:p>
        </w:tc>
        <w:tc>
          <w:tcPr>
            <w:tcW w:w="960" w:type="dxa"/>
          </w:tcPr>
          <w:p w14:paraId="575D16B8" w14:textId="77777777" w:rsidR="00A106A4" w:rsidRPr="00E5000A" w:rsidRDefault="00A106A4" w:rsidP="0077408D">
            <w:r w:rsidRPr="00E5000A">
              <w:t>Base Paper / Platform</w:t>
            </w:r>
          </w:p>
        </w:tc>
        <w:tc>
          <w:tcPr>
            <w:tcW w:w="2000" w:type="dxa"/>
          </w:tcPr>
          <w:p w14:paraId="293D68BD" w14:textId="77777777" w:rsidR="00A106A4" w:rsidRPr="00E5000A" w:rsidRDefault="00A106A4" w:rsidP="0077408D">
            <w:r w:rsidRPr="00E5000A">
              <w:t>Primary replication target — defines all pipeline steps reproduced in this project</w:t>
            </w:r>
          </w:p>
        </w:tc>
      </w:tr>
      <w:tr w:rsidR="00A106A4" w:rsidRPr="00E5000A" w14:paraId="3A894701" w14:textId="77777777" w:rsidTr="0077408D">
        <w:tc>
          <w:tcPr>
            <w:tcW w:w="360" w:type="dxa"/>
          </w:tcPr>
          <w:p w14:paraId="5F3AC21E" w14:textId="77777777" w:rsidR="00A106A4" w:rsidRPr="00E5000A" w:rsidRDefault="00A106A4" w:rsidP="0077408D">
            <w:r w:rsidRPr="00E5000A">
              <w:t>2</w:t>
            </w:r>
          </w:p>
        </w:tc>
        <w:tc>
          <w:tcPr>
            <w:tcW w:w="560" w:type="dxa"/>
          </w:tcPr>
          <w:p w14:paraId="6C35E3BE" w14:textId="77777777" w:rsidR="00A106A4" w:rsidRPr="00E5000A" w:rsidRDefault="00A106A4" w:rsidP="0077408D">
            <w:r w:rsidRPr="00E5000A">
              <w:t>2015</w:t>
            </w:r>
          </w:p>
        </w:tc>
        <w:tc>
          <w:tcPr>
            <w:tcW w:w="1800" w:type="dxa"/>
          </w:tcPr>
          <w:p w14:paraId="6A6EF0F9" w14:textId="77777777" w:rsidR="00A106A4" w:rsidRPr="00E5000A" w:rsidRDefault="00A106A4" w:rsidP="0077408D">
            <w:proofErr w:type="spellStart"/>
            <w:r w:rsidRPr="00E5000A">
              <w:t>Labadorf</w:t>
            </w:r>
            <w:proofErr w:type="spellEnd"/>
            <w:r w:rsidRPr="00E5000A">
              <w:t>, A.; Hoss, A.G.; Lagomarsino, V.; Latourelle, J.C.; et al.</w:t>
            </w:r>
          </w:p>
        </w:tc>
        <w:tc>
          <w:tcPr>
            <w:tcW w:w="3000" w:type="dxa"/>
          </w:tcPr>
          <w:p w14:paraId="3D1F7186" w14:textId="77777777" w:rsidR="00A106A4" w:rsidRPr="00E5000A" w:rsidRDefault="00A106A4" w:rsidP="0077408D">
            <w:r w:rsidRPr="00E5000A">
              <w:t>RNA Sequence Analysis of Human Huntington Disease Brain Reveals an Extensive Increase in Inflammatory and Developmental Gene Expression</w:t>
            </w:r>
          </w:p>
        </w:tc>
        <w:tc>
          <w:tcPr>
            <w:tcW w:w="1400" w:type="dxa"/>
          </w:tcPr>
          <w:p w14:paraId="7A52FF30" w14:textId="77777777" w:rsidR="00A106A4" w:rsidRPr="00E5000A" w:rsidRDefault="00A106A4" w:rsidP="0077408D">
            <w:r w:rsidRPr="00E5000A">
              <w:t>PLOS ONE, 10(12), e0143563</w:t>
            </w:r>
          </w:p>
        </w:tc>
        <w:tc>
          <w:tcPr>
            <w:tcW w:w="960" w:type="dxa"/>
          </w:tcPr>
          <w:p w14:paraId="5D14C8A6" w14:textId="77777777" w:rsidR="00A106A4" w:rsidRPr="00E5000A" w:rsidRDefault="00A106A4" w:rsidP="0077408D">
            <w:r w:rsidRPr="00E5000A">
              <w:t>HD Dataset / HD Transcriptomics</w:t>
            </w:r>
          </w:p>
        </w:tc>
        <w:tc>
          <w:tcPr>
            <w:tcW w:w="2000" w:type="dxa"/>
          </w:tcPr>
          <w:p w14:paraId="01627E05" w14:textId="77777777" w:rsidR="00A106A4" w:rsidRPr="00E5000A" w:rsidRDefault="00A106A4" w:rsidP="0077408D">
            <w:r w:rsidRPr="00E5000A">
              <w:t>Source study for the primary replication dataset (GEO GSE64810)</w:t>
            </w:r>
          </w:p>
        </w:tc>
      </w:tr>
      <w:tr w:rsidR="00A106A4" w:rsidRPr="00E5000A" w14:paraId="0091313B" w14:textId="77777777" w:rsidTr="0077408D">
        <w:tc>
          <w:tcPr>
            <w:tcW w:w="360" w:type="dxa"/>
          </w:tcPr>
          <w:p w14:paraId="3F75CC41" w14:textId="77777777" w:rsidR="00A106A4" w:rsidRPr="00E5000A" w:rsidRDefault="00A106A4" w:rsidP="0077408D">
            <w:r w:rsidRPr="00E5000A">
              <w:t>3</w:t>
            </w:r>
          </w:p>
        </w:tc>
        <w:tc>
          <w:tcPr>
            <w:tcW w:w="560" w:type="dxa"/>
          </w:tcPr>
          <w:p w14:paraId="2529A538" w14:textId="77777777" w:rsidR="00A106A4" w:rsidRPr="00E5000A" w:rsidRDefault="00A106A4" w:rsidP="0077408D">
            <w:r w:rsidRPr="00E5000A">
              <w:t>2026</w:t>
            </w:r>
          </w:p>
        </w:tc>
        <w:tc>
          <w:tcPr>
            <w:tcW w:w="1800" w:type="dxa"/>
          </w:tcPr>
          <w:p w14:paraId="49B41362" w14:textId="77777777" w:rsidR="00A106A4" w:rsidRPr="00E5000A" w:rsidRDefault="00A106A4" w:rsidP="0077408D">
            <w:r w:rsidRPr="00E5000A">
              <w:t>Gupta, H.; Singh, S.; Kaushik, A.C.; et al.</w:t>
            </w:r>
          </w:p>
        </w:tc>
        <w:tc>
          <w:tcPr>
            <w:tcW w:w="3000" w:type="dxa"/>
          </w:tcPr>
          <w:p w14:paraId="1C587FBA" w14:textId="77777777" w:rsidR="00A106A4" w:rsidRPr="00E5000A" w:rsidRDefault="00A106A4" w:rsidP="0077408D">
            <w:r w:rsidRPr="00E5000A">
              <w:t>Decoding Non-Neuronal Mechanisms and Therapeutic Targets in Huntington's Disease Through Integrative Transcriptomics and Machine Learning</w:t>
            </w:r>
          </w:p>
        </w:tc>
        <w:tc>
          <w:tcPr>
            <w:tcW w:w="1400" w:type="dxa"/>
          </w:tcPr>
          <w:p w14:paraId="0A28D658" w14:textId="77777777" w:rsidR="00A106A4" w:rsidRPr="00E5000A" w:rsidRDefault="00A106A4" w:rsidP="0077408D">
            <w:r w:rsidRPr="00E5000A">
              <w:t>Journal of Molecular Neuroscience, 76, 11</w:t>
            </w:r>
          </w:p>
        </w:tc>
        <w:tc>
          <w:tcPr>
            <w:tcW w:w="960" w:type="dxa"/>
          </w:tcPr>
          <w:p w14:paraId="5BB3A44A" w14:textId="77777777" w:rsidR="00A106A4" w:rsidRPr="00E5000A" w:rsidRDefault="00A106A4" w:rsidP="0077408D">
            <w:r w:rsidRPr="00E5000A">
              <w:t>HD Transcriptomics / ML</w:t>
            </w:r>
          </w:p>
        </w:tc>
        <w:tc>
          <w:tcPr>
            <w:tcW w:w="2000" w:type="dxa"/>
          </w:tcPr>
          <w:p w14:paraId="15B29F2D" w14:textId="77777777" w:rsidR="00A106A4" w:rsidRPr="00E5000A" w:rsidRDefault="00A106A4" w:rsidP="0077408D">
            <w:r w:rsidRPr="00E5000A">
              <w:t>Most recent (Jan 2026) HD integrative transcriptomics + ML study — methodological parallel to this project</w:t>
            </w:r>
          </w:p>
        </w:tc>
      </w:tr>
      <w:tr w:rsidR="00A106A4" w:rsidRPr="00E5000A" w14:paraId="6BFCEB83" w14:textId="77777777" w:rsidTr="0077408D">
        <w:tc>
          <w:tcPr>
            <w:tcW w:w="360" w:type="dxa"/>
          </w:tcPr>
          <w:p w14:paraId="5D1A5A88" w14:textId="77777777" w:rsidR="00A106A4" w:rsidRPr="00E5000A" w:rsidRDefault="00A106A4" w:rsidP="0077408D">
            <w:r w:rsidRPr="00E5000A">
              <w:t>4</w:t>
            </w:r>
          </w:p>
        </w:tc>
        <w:tc>
          <w:tcPr>
            <w:tcW w:w="560" w:type="dxa"/>
          </w:tcPr>
          <w:p w14:paraId="570FF2CA" w14:textId="77777777" w:rsidR="00A106A4" w:rsidRPr="00E5000A" w:rsidRDefault="00A106A4" w:rsidP="0077408D">
            <w:r w:rsidRPr="00E5000A">
              <w:t>2025</w:t>
            </w:r>
          </w:p>
        </w:tc>
        <w:tc>
          <w:tcPr>
            <w:tcW w:w="1800" w:type="dxa"/>
          </w:tcPr>
          <w:p w14:paraId="19E21D75" w14:textId="77777777" w:rsidR="00A106A4" w:rsidRPr="00E5000A" w:rsidRDefault="00A106A4" w:rsidP="0077408D">
            <w:r w:rsidRPr="00E5000A">
              <w:t>Nakatsuka, N.; Lu, T.; Bhattacharya, A.; et al.</w:t>
            </w:r>
          </w:p>
        </w:tc>
        <w:tc>
          <w:tcPr>
            <w:tcW w:w="3000" w:type="dxa"/>
          </w:tcPr>
          <w:p w14:paraId="1290BE77" w14:textId="77777777" w:rsidR="00A106A4" w:rsidRPr="00E5000A" w:rsidRDefault="00A106A4" w:rsidP="0077408D">
            <w:r w:rsidRPr="00E5000A">
              <w:t>Improving reproducibility of differentially expressed genes in single-cell transcriptomic studies of neurodegenerative diseases through meta-analysis</w:t>
            </w:r>
          </w:p>
        </w:tc>
        <w:tc>
          <w:tcPr>
            <w:tcW w:w="1400" w:type="dxa"/>
          </w:tcPr>
          <w:p w14:paraId="55E78E1B" w14:textId="77777777" w:rsidR="00A106A4" w:rsidRPr="00E5000A" w:rsidRDefault="00A106A4" w:rsidP="0077408D">
            <w:r w:rsidRPr="00E5000A">
              <w:t>Nature Communications, 16, 7394</w:t>
            </w:r>
          </w:p>
        </w:tc>
        <w:tc>
          <w:tcPr>
            <w:tcW w:w="960" w:type="dxa"/>
          </w:tcPr>
          <w:p w14:paraId="2F438876" w14:textId="77777777" w:rsidR="00A106A4" w:rsidRPr="00E5000A" w:rsidRDefault="00A106A4" w:rsidP="0077408D">
            <w:r w:rsidRPr="00E5000A">
              <w:t>HD/AD/PD Meta-Analysis / DEG Reproducibility</w:t>
            </w:r>
          </w:p>
        </w:tc>
        <w:tc>
          <w:tcPr>
            <w:tcW w:w="2000" w:type="dxa"/>
          </w:tcPr>
          <w:p w14:paraId="4CD6EADD" w14:textId="77777777" w:rsidR="00A106A4" w:rsidRPr="00E5000A" w:rsidRDefault="00A106A4" w:rsidP="0077408D">
            <w:r w:rsidRPr="00E5000A">
              <w:t>August 2025 Nature Communications meta-analysis finding 56 shared DEGs across HD, AD, and PD — directly informs the HD–AD novelty arm</w:t>
            </w:r>
          </w:p>
        </w:tc>
      </w:tr>
      <w:tr w:rsidR="00A106A4" w:rsidRPr="00E5000A" w14:paraId="0CA0C821" w14:textId="77777777" w:rsidTr="0077408D">
        <w:tc>
          <w:tcPr>
            <w:tcW w:w="360" w:type="dxa"/>
          </w:tcPr>
          <w:p w14:paraId="60E3E884" w14:textId="77777777" w:rsidR="00A106A4" w:rsidRPr="00E5000A" w:rsidRDefault="00A106A4" w:rsidP="0077408D">
            <w:r w:rsidRPr="00E5000A">
              <w:t>5</w:t>
            </w:r>
          </w:p>
        </w:tc>
        <w:tc>
          <w:tcPr>
            <w:tcW w:w="560" w:type="dxa"/>
          </w:tcPr>
          <w:p w14:paraId="225BE766" w14:textId="77777777" w:rsidR="00A106A4" w:rsidRPr="00E5000A" w:rsidRDefault="00A106A4" w:rsidP="0077408D">
            <w:r w:rsidRPr="00E5000A">
              <w:t>2024</w:t>
            </w:r>
          </w:p>
        </w:tc>
        <w:tc>
          <w:tcPr>
            <w:tcW w:w="1800" w:type="dxa"/>
          </w:tcPr>
          <w:p w14:paraId="3AC8E68F" w14:textId="77777777" w:rsidR="00A106A4" w:rsidRPr="00E5000A" w:rsidRDefault="00A106A4" w:rsidP="0077408D">
            <w:proofErr w:type="spellStart"/>
            <w:r w:rsidRPr="00E5000A">
              <w:t>Bøstrand</w:t>
            </w:r>
            <w:proofErr w:type="spellEnd"/>
            <w:r w:rsidRPr="00E5000A">
              <w:t>, S.M.K.; Seeker, L.A.; Bestard-</w:t>
            </w:r>
            <w:proofErr w:type="spellStart"/>
            <w:r w:rsidRPr="00E5000A">
              <w:t>Cuche</w:t>
            </w:r>
            <w:proofErr w:type="spellEnd"/>
            <w:r w:rsidRPr="00E5000A">
              <w:t xml:space="preserve">, N.; </w:t>
            </w:r>
            <w:proofErr w:type="spellStart"/>
            <w:r w:rsidRPr="00E5000A">
              <w:t>Kazakou</w:t>
            </w:r>
            <w:proofErr w:type="spellEnd"/>
            <w:r w:rsidRPr="00E5000A">
              <w:t>, N-L.; et al.</w:t>
            </w:r>
          </w:p>
        </w:tc>
        <w:tc>
          <w:tcPr>
            <w:tcW w:w="3000" w:type="dxa"/>
          </w:tcPr>
          <w:p w14:paraId="4841BFC2" w14:textId="77777777" w:rsidR="00A106A4" w:rsidRPr="00E5000A" w:rsidRDefault="00A106A4" w:rsidP="0077408D">
            <w:r w:rsidRPr="00E5000A">
              <w:t xml:space="preserve">Mapping the glial transcriptome in Huntington's disease using </w:t>
            </w:r>
            <w:proofErr w:type="spellStart"/>
            <w:r w:rsidRPr="00E5000A">
              <w:t>snRNAseq</w:t>
            </w:r>
            <w:proofErr w:type="spellEnd"/>
            <w:r w:rsidRPr="00E5000A">
              <w:t>: selective disruption of glial signatures across brain regions</w:t>
            </w:r>
          </w:p>
        </w:tc>
        <w:tc>
          <w:tcPr>
            <w:tcW w:w="1400" w:type="dxa"/>
          </w:tcPr>
          <w:p w14:paraId="1D665E14" w14:textId="77777777" w:rsidR="00A106A4" w:rsidRPr="00E5000A" w:rsidRDefault="00A106A4" w:rsidP="0077408D">
            <w:r w:rsidRPr="00E5000A">
              <w:t xml:space="preserve">Acta </w:t>
            </w:r>
            <w:proofErr w:type="spellStart"/>
            <w:r w:rsidRPr="00E5000A">
              <w:t>Neuropathologica</w:t>
            </w:r>
            <w:proofErr w:type="spellEnd"/>
            <w:r w:rsidRPr="00E5000A">
              <w:t xml:space="preserve"> Communications, 12, 164</w:t>
            </w:r>
          </w:p>
        </w:tc>
        <w:tc>
          <w:tcPr>
            <w:tcW w:w="960" w:type="dxa"/>
          </w:tcPr>
          <w:p w14:paraId="7B33EE9E" w14:textId="77777777" w:rsidR="00A106A4" w:rsidRPr="00E5000A" w:rsidRDefault="00A106A4" w:rsidP="0077408D">
            <w:r w:rsidRPr="00E5000A">
              <w:t>HD Transcriptomics / Glial Biology</w:t>
            </w:r>
          </w:p>
        </w:tc>
        <w:tc>
          <w:tcPr>
            <w:tcW w:w="2000" w:type="dxa"/>
          </w:tcPr>
          <w:p w14:paraId="12561CEF" w14:textId="77777777" w:rsidR="00A106A4" w:rsidRPr="00E5000A" w:rsidRDefault="00A106A4" w:rsidP="0077408D">
            <w:r w:rsidRPr="00E5000A">
              <w:t xml:space="preserve">Largest HD snRNA-Seq glial study (127,205 nuclei, Oct 2024) — </w:t>
            </w:r>
            <w:proofErr w:type="spellStart"/>
            <w:r w:rsidRPr="00E5000A">
              <w:t>contextualises</w:t>
            </w:r>
            <w:proofErr w:type="spellEnd"/>
            <w:r w:rsidRPr="00E5000A">
              <w:t xml:space="preserve"> bulk DEA findings with cell-type resolution</w:t>
            </w:r>
          </w:p>
        </w:tc>
      </w:tr>
      <w:tr w:rsidR="00A106A4" w:rsidRPr="00E5000A" w14:paraId="5505108F" w14:textId="77777777" w:rsidTr="0077408D">
        <w:tc>
          <w:tcPr>
            <w:tcW w:w="360" w:type="dxa"/>
          </w:tcPr>
          <w:p w14:paraId="0F2A6286" w14:textId="77777777" w:rsidR="00A106A4" w:rsidRPr="00E5000A" w:rsidRDefault="00A106A4" w:rsidP="0077408D">
            <w:r w:rsidRPr="00E5000A">
              <w:t>6</w:t>
            </w:r>
          </w:p>
        </w:tc>
        <w:tc>
          <w:tcPr>
            <w:tcW w:w="560" w:type="dxa"/>
          </w:tcPr>
          <w:p w14:paraId="68125B8F" w14:textId="77777777" w:rsidR="00A106A4" w:rsidRPr="00E5000A" w:rsidRDefault="00A106A4" w:rsidP="0077408D">
            <w:r w:rsidRPr="00E5000A">
              <w:t>2024</w:t>
            </w:r>
          </w:p>
        </w:tc>
        <w:tc>
          <w:tcPr>
            <w:tcW w:w="1800" w:type="dxa"/>
          </w:tcPr>
          <w:p w14:paraId="234F7596" w14:textId="77777777" w:rsidR="00A106A4" w:rsidRPr="00E5000A" w:rsidRDefault="00A106A4" w:rsidP="0077408D">
            <w:r w:rsidRPr="00E5000A">
              <w:t xml:space="preserve">Maekawa, M.; Tanaka, A.; Ogawa, M.; </w:t>
            </w:r>
            <w:proofErr w:type="spellStart"/>
            <w:r w:rsidRPr="00E5000A">
              <w:t>Roehrl</w:t>
            </w:r>
            <w:proofErr w:type="spellEnd"/>
            <w:r w:rsidRPr="00E5000A">
              <w:t>, M.H.</w:t>
            </w:r>
          </w:p>
        </w:tc>
        <w:tc>
          <w:tcPr>
            <w:tcW w:w="3000" w:type="dxa"/>
          </w:tcPr>
          <w:p w14:paraId="3A5EBFE7" w14:textId="77777777" w:rsidR="00A106A4" w:rsidRPr="00E5000A" w:rsidRDefault="00A106A4" w:rsidP="0077408D">
            <w:r w:rsidRPr="00E5000A">
              <w:t>Propensity score matching as an effective strategy for biomarker cohort design and omics data analysis</w:t>
            </w:r>
          </w:p>
        </w:tc>
        <w:tc>
          <w:tcPr>
            <w:tcW w:w="1400" w:type="dxa"/>
          </w:tcPr>
          <w:p w14:paraId="5FF4D489" w14:textId="77777777" w:rsidR="00A106A4" w:rsidRPr="00E5000A" w:rsidRDefault="00A106A4" w:rsidP="0077408D">
            <w:r w:rsidRPr="00E5000A">
              <w:t>PLOS ONE, 19(5), e0302109</w:t>
            </w:r>
          </w:p>
        </w:tc>
        <w:tc>
          <w:tcPr>
            <w:tcW w:w="960" w:type="dxa"/>
          </w:tcPr>
          <w:p w14:paraId="4E8A80E2" w14:textId="77777777" w:rsidR="00A106A4" w:rsidRPr="00E5000A" w:rsidRDefault="00A106A4" w:rsidP="0077408D">
            <w:r w:rsidRPr="00E5000A">
              <w:t>PSM Methodology</w:t>
            </w:r>
          </w:p>
        </w:tc>
        <w:tc>
          <w:tcPr>
            <w:tcW w:w="2000" w:type="dxa"/>
          </w:tcPr>
          <w:p w14:paraId="327F3445" w14:textId="77777777" w:rsidR="00A106A4" w:rsidRPr="00E5000A" w:rsidRDefault="00A106A4" w:rsidP="0077408D">
            <w:r w:rsidRPr="00E5000A">
              <w:t>Validates PSM for omics RNA-Seq biomarker discovery; directly supports the PSM cohort-balancing step</w:t>
            </w:r>
          </w:p>
        </w:tc>
      </w:tr>
      <w:tr w:rsidR="00A106A4" w:rsidRPr="00E5000A" w14:paraId="077C9A0F" w14:textId="77777777" w:rsidTr="0077408D">
        <w:tc>
          <w:tcPr>
            <w:tcW w:w="360" w:type="dxa"/>
          </w:tcPr>
          <w:p w14:paraId="3E592174" w14:textId="77777777" w:rsidR="00A106A4" w:rsidRPr="00E5000A" w:rsidRDefault="00A106A4" w:rsidP="0077408D">
            <w:r w:rsidRPr="00E5000A">
              <w:t>7</w:t>
            </w:r>
          </w:p>
        </w:tc>
        <w:tc>
          <w:tcPr>
            <w:tcW w:w="560" w:type="dxa"/>
          </w:tcPr>
          <w:p w14:paraId="7C65415E" w14:textId="77777777" w:rsidR="00A106A4" w:rsidRPr="00E5000A" w:rsidRDefault="00A106A4" w:rsidP="0077408D">
            <w:r w:rsidRPr="00E5000A">
              <w:t>2024</w:t>
            </w:r>
          </w:p>
        </w:tc>
        <w:tc>
          <w:tcPr>
            <w:tcW w:w="1800" w:type="dxa"/>
          </w:tcPr>
          <w:p w14:paraId="5389B85F" w14:textId="77777777" w:rsidR="00A106A4" w:rsidRPr="00E5000A" w:rsidRDefault="00A106A4" w:rsidP="0077408D">
            <w:r w:rsidRPr="00E5000A">
              <w:t xml:space="preserve">Kurz, C.F.; </w:t>
            </w:r>
            <w:proofErr w:type="spellStart"/>
            <w:r w:rsidRPr="00E5000A">
              <w:t>Krzywinski</w:t>
            </w:r>
            <w:proofErr w:type="spellEnd"/>
            <w:r w:rsidRPr="00E5000A">
              <w:t>, M.; Altman, N.</w:t>
            </w:r>
          </w:p>
        </w:tc>
        <w:tc>
          <w:tcPr>
            <w:tcW w:w="3000" w:type="dxa"/>
          </w:tcPr>
          <w:p w14:paraId="6572ECB3" w14:textId="77777777" w:rsidR="00A106A4" w:rsidRPr="00E5000A" w:rsidRDefault="00A106A4" w:rsidP="0077408D">
            <w:r w:rsidRPr="00E5000A">
              <w:t>Propensity score matching</w:t>
            </w:r>
          </w:p>
        </w:tc>
        <w:tc>
          <w:tcPr>
            <w:tcW w:w="1400" w:type="dxa"/>
          </w:tcPr>
          <w:p w14:paraId="04EF8737" w14:textId="77777777" w:rsidR="00A106A4" w:rsidRPr="00E5000A" w:rsidRDefault="00A106A4" w:rsidP="0077408D">
            <w:r w:rsidRPr="00E5000A">
              <w:t>Nature Methods, 21, 1770–1772</w:t>
            </w:r>
          </w:p>
        </w:tc>
        <w:tc>
          <w:tcPr>
            <w:tcW w:w="960" w:type="dxa"/>
          </w:tcPr>
          <w:p w14:paraId="742309F1" w14:textId="77777777" w:rsidR="00A106A4" w:rsidRPr="00E5000A" w:rsidRDefault="00A106A4" w:rsidP="0077408D">
            <w:r w:rsidRPr="00E5000A">
              <w:t>PSM Methodology</w:t>
            </w:r>
          </w:p>
        </w:tc>
        <w:tc>
          <w:tcPr>
            <w:tcW w:w="2000" w:type="dxa"/>
          </w:tcPr>
          <w:p w14:paraId="7F414EE5" w14:textId="77777777" w:rsidR="00A106A4" w:rsidRPr="00E5000A" w:rsidRDefault="00A106A4" w:rsidP="0077408D">
            <w:r w:rsidRPr="00E5000A">
              <w:t>Authoritative statistical foundation for PSM nearest-</w:t>
            </w:r>
            <w:proofErr w:type="spellStart"/>
            <w:r w:rsidRPr="00E5000A">
              <w:t>neighbour</w:t>
            </w:r>
            <w:proofErr w:type="spellEnd"/>
            <w:r w:rsidRPr="00E5000A">
              <w:t xml:space="preserve"> matching and balance verification (t-test p=0.88)</w:t>
            </w:r>
          </w:p>
        </w:tc>
      </w:tr>
      <w:tr w:rsidR="00A106A4" w:rsidRPr="00E5000A" w14:paraId="1EE5DF18" w14:textId="77777777" w:rsidTr="0077408D">
        <w:tc>
          <w:tcPr>
            <w:tcW w:w="360" w:type="dxa"/>
          </w:tcPr>
          <w:p w14:paraId="522EF675" w14:textId="77777777" w:rsidR="00A106A4" w:rsidRPr="00E5000A" w:rsidRDefault="00A106A4" w:rsidP="0077408D">
            <w:r w:rsidRPr="00E5000A">
              <w:lastRenderedPageBreak/>
              <w:t>8</w:t>
            </w:r>
          </w:p>
        </w:tc>
        <w:tc>
          <w:tcPr>
            <w:tcW w:w="560" w:type="dxa"/>
          </w:tcPr>
          <w:p w14:paraId="6EB1CB81" w14:textId="77777777" w:rsidR="00A106A4" w:rsidRPr="00E5000A" w:rsidRDefault="00A106A4" w:rsidP="0077408D">
            <w:r w:rsidRPr="00E5000A">
              <w:t>2014</w:t>
            </w:r>
          </w:p>
        </w:tc>
        <w:tc>
          <w:tcPr>
            <w:tcW w:w="1800" w:type="dxa"/>
          </w:tcPr>
          <w:p w14:paraId="35D90E5F" w14:textId="77777777" w:rsidR="00A106A4" w:rsidRPr="00E5000A" w:rsidRDefault="00A106A4" w:rsidP="0077408D">
            <w:r w:rsidRPr="00E5000A">
              <w:t>Love, M.I.; Huber, W.; Anders, S.</w:t>
            </w:r>
          </w:p>
        </w:tc>
        <w:tc>
          <w:tcPr>
            <w:tcW w:w="3000" w:type="dxa"/>
          </w:tcPr>
          <w:p w14:paraId="63092BC0" w14:textId="77777777" w:rsidR="00A106A4" w:rsidRPr="00E5000A" w:rsidRDefault="00A106A4" w:rsidP="0077408D">
            <w:r w:rsidRPr="00E5000A">
              <w:t>Moderated estimation of fold change and dispersion for RNA-seq data with DESeq2</w:t>
            </w:r>
          </w:p>
        </w:tc>
        <w:tc>
          <w:tcPr>
            <w:tcW w:w="1400" w:type="dxa"/>
          </w:tcPr>
          <w:p w14:paraId="71E04B66" w14:textId="77777777" w:rsidR="00A106A4" w:rsidRPr="00E5000A" w:rsidRDefault="00A106A4" w:rsidP="0077408D">
            <w:r w:rsidRPr="00E5000A">
              <w:t>Genome Biology, 15, 550</w:t>
            </w:r>
          </w:p>
        </w:tc>
        <w:tc>
          <w:tcPr>
            <w:tcW w:w="960" w:type="dxa"/>
          </w:tcPr>
          <w:p w14:paraId="44B9826A" w14:textId="77777777" w:rsidR="00A106A4" w:rsidRPr="00E5000A" w:rsidRDefault="00A106A4" w:rsidP="0077408D">
            <w:r w:rsidRPr="00E5000A">
              <w:t>DEA Methodology</w:t>
            </w:r>
          </w:p>
        </w:tc>
        <w:tc>
          <w:tcPr>
            <w:tcW w:w="2000" w:type="dxa"/>
          </w:tcPr>
          <w:p w14:paraId="1BCCE7D0" w14:textId="77777777" w:rsidR="00A106A4" w:rsidRPr="00E5000A" w:rsidRDefault="00A106A4" w:rsidP="0077408D">
            <w:r w:rsidRPr="00E5000A">
              <w:t>Core DEA Method 1 (DESeq2) — implements the primary differential expression tool in the RMC</w:t>
            </w:r>
          </w:p>
        </w:tc>
      </w:tr>
      <w:tr w:rsidR="00A106A4" w:rsidRPr="00E5000A" w14:paraId="707981FA" w14:textId="77777777" w:rsidTr="0077408D">
        <w:tc>
          <w:tcPr>
            <w:tcW w:w="360" w:type="dxa"/>
          </w:tcPr>
          <w:p w14:paraId="73AC6EF6" w14:textId="77777777" w:rsidR="00A106A4" w:rsidRPr="00E5000A" w:rsidRDefault="00A106A4" w:rsidP="0077408D">
            <w:r w:rsidRPr="00E5000A">
              <w:t>9</w:t>
            </w:r>
          </w:p>
        </w:tc>
        <w:tc>
          <w:tcPr>
            <w:tcW w:w="560" w:type="dxa"/>
          </w:tcPr>
          <w:p w14:paraId="3929CC01" w14:textId="77777777" w:rsidR="00A106A4" w:rsidRPr="00E5000A" w:rsidRDefault="00A106A4" w:rsidP="0077408D">
            <w:r w:rsidRPr="00E5000A">
              <w:t>2010</w:t>
            </w:r>
          </w:p>
        </w:tc>
        <w:tc>
          <w:tcPr>
            <w:tcW w:w="1800" w:type="dxa"/>
          </w:tcPr>
          <w:p w14:paraId="138406C7" w14:textId="77777777" w:rsidR="00A106A4" w:rsidRPr="00E5000A" w:rsidRDefault="00A106A4" w:rsidP="0077408D">
            <w:r w:rsidRPr="00E5000A">
              <w:t>Robinson, M.D.; McCarthy, D.J.; Smyth, G.K.</w:t>
            </w:r>
          </w:p>
        </w:tc>
        <w:tc>
          <w:tcPr>
            <w:tcW w:w="3000" w:type="dxa"/>
          </w:tcPr>
          <w:p w14:paraId="4B04AD8D" w14:textId="77777777" w:rsidR="00A106A4" w:rsidRPr="00E5000A" w:rsidRDefault="00A106A4" w:rsidP="0077408D">
            <w:proofErr w:type="spellStart"/>
            <w:r w:rsidRPr="00E5000A">
              <w:t>edgeR</w:t>
            </w:r>
            <w:proofErr w:type="spellEnd"/>
            <w:r w:rsidRPr="00E5000A">
              <w:t>: a Bioconductor package for differential expression analysis of digital gene expression data</w:t>
            </w:r>
          </w:p>
        </w:tc>
        <w:tc>
          <w:tcPr>
            <w:tcW w:w="1400" w:type="dxa"/>
          </w:tcPr>
          <w:p w14:paraId="0D82C8FA" w14:textId="77777777" w:rsidR="00A106A4" w:rsidRPr="00E5000A" w:rsidRDefault="00A106A4" w:rsidP="0077408D">
            <w:r w:rsidRPr="00E5000A">
              <w:t>Bioinformatics, 26(1), 139–140</w:t>
            </w:r>
          </w:p>
        </w:tc>
        <w:tc>
          <w:tcPr>
            <w:tcW w:w="960" w:type="dxa"/>
          </w:tcPr>
          <w:p w14:paraId="6D64CE9F" w14:textId="77777777" w:rsidR="00A106A4" w:rsidRPr="00E5000A" w:rsidRDefault="00A106A4" w:rsidP="0077408D">
            <w:r w:rsidRPr="00E5000A">
              <w:t>DEA Methodology</w:t>
            </w:r>
          </w:p>
        </w:tc>
        <w:tc>
          <w:tcPr>
            <w:tcW w:w="2000" w:type="dxa"/>
          </w:tcPr>
          <w:p w14:paraId="4F57A59E" w14:textId="77777777" w:rsidR="00A106A4" w:rsidRPr="00E5000A" w:rsidRDefault="00A106A4" w:rsidP="0077408D">
            <w:r w:rsidRPr="00E5000A">
              <w:t>Core DEA Method 2 (</w:t>
            </w:r>
            <w:proofErr w:type="spellStart"/>
            <w:r w:rsidRPr="00E5000A">
              <w:t>edgeR</w:t>
            </w:r>
            <w:proofErr w:type="spellEnd"/>
            <w:r w:rsidRPr="00E5000A">
              <w:t>) — provides the quasi-likelihood F-test in the RMC consensus</w:t>
            </w:r>
          </w:p>
        </w:tc>
      </w:tr>
      <w:tr w:rsidR="00A106A4" w:rsidRPr="00E5000A" w14:paraId="2D6543F7" w14:textId="77777777" w:rsidTr="0077408D">
        <w:tc>
          <w:tcPr>
            <w:tcW w:w="360" w:type="dxa"/>
          </w:tcPr>
          <w:p w14:paraId="007C3D06" w14:textId="77777777" w:rsidR="00A106A4" w:rsidRPr="00E5000A" w:rsidRDefault="00A106A4" w:rsidP="0077408D">
            <w:r w:rsidRPr="00E5000A">
              <w:t>10</w:t>
            </w:r>
          </w:p>
        </w:tc>
        <w:tc>
          <w:tcPr>
            <w:tcW w:w="560" w:type="dxa"/>
          </w:tcPr>
          <w:p w14:paraId="393DC38E" w14:textId="77777777" w:rsidR="00A106A4" w:rsidRPr="00E5000A" w:rsidRDefault="00A106A4" w:rsidP="0077408D">
            <w:r w:rsidRPr="00E5000A">
              <w:t>2015</w:t>
            </w:r>
          </w:p>
        </w:tc>
        <w:tc>
          <w:tcPr>
            <w:tcW w:w="1800" w:type="dxa"/>
          </w:tcPr>
          <w:p w14:paraId="1183F728" w14:textId="77777777" w:rsidR="00A106A4" w:rsidRPr="00E5000A" w:rsidRDefault="00A106A4" w:rsidP="0077408D">
            <w:r w:rsidRPr="00E5000A">
              <w:t xml:space="preserve">Ritchie, M.E.; </w:t>
            </w:r>
            <w:proofErr w:type="spellStart"/>
            <w:r w:rsidRPr="00E5000A">
              <w:t>Phipson</w:t>
            </w:r>
            <w:proofErr w:type="spellEnd"/>
            <w:r w:rsidRPr="00E5000A">
              <w:t>, B.; Wu, D.; Hu, Y.; Law, C.W.; Shi, W.; Smyth, G.K.</w:t>
            </w:r>
          </w:p>
        </w:tc>
        <w:tc>
          <w:tcPr>
            <w:tcW w:w="3000" w:type="dxa"/>
          </w:tcPr>
          <w:p w14:paraId="0EAD6CEF" w14:textId="77777777" w:rsidR="00A106A4" w:rsidRPr="00E5000A" w:rsidRDefault="00A106A4" w:rsidP="0077408D">
            <w:proofErr w:type="spellStart"/>
            <w:r w:rsidRPr="00E5000A">
              <w:t>limma</w:t>
            </w:r>
            <w:proofErr w:type="spellEnd"/>
            <w:r w:rsidRPr="00E5000A">
              <w:t xml:space="preserve"> powers differential expression analyses for RNA-sequencing and microarray studies</w:t>
            </w:r>
          </w:p>
        </w:tc>
        <w:tc>
          <w:tcPr>
            <w:tcW w:w="1400" w:type="dxa"/>
          </w:tcPr>
          <w:p w14:paraId="2E38D787" w14:textId="77777777" w:rsidR="00A106A4" w:rsidRPr="00E5000A" w:rsidRDefault="00A106A4" w:rsidP="0077408D">
            <w:r w:rsidRPr="00E5000A">
              <w:t>Nucleic Acids Research, 43(7), e47</w:t>
            </w:r>
          </w:p>
        </w:tc>
        <w:tc>
          <w:tcPr>
            <w:tcW w:w="960" w:type="dxa"/>
          </w:tcPr>
          <w:p w14:paraId="55B1338D" w14:textId="77777777" w:rsidR="00A106A4" w:rsidRPr="00E5000A" w:rsidRDefault="00A106A4" w:rsidP="0077408D">
            <w:r w:rsidRPr="00E5000A">
              <w:t>DEA Methodology</w:t>
            </w:r>
          </w:p>
        </w:tc>
        <w:tc>
          <w:tcPr>
            <w:tcW w:w="2000" w:type="dxa"/>
          </w:tcPr>
          <w:p w14:paraId="0A139C71" w14:textId="77777777" w:rsidR="00A106A4" w:rsidRPr="00E5000A" w:rsidRDefault="00A106A4" w:rsidP="0077408D">
            <w:r w:rsidRPr="00E5000A">
              <w:t>Core DEA Method 3 (</w:t>
            </w:r>
            <w:proofErr w:type="spellStart"/>
            <w:r w:rsidRPr="00E5000A">
              <w:t>limma-voom</w:t>
            </w:r>
            <w:proofErr w:type="spellEnd"/>
            <w:r w:rsidRPr="00E5000A">
              <w:t>) — uniquely enables cross-platform DEA for both HD RNA-Seq and AD microarray</w:t>
            </w:r>
          </w:p>
        </w:tc>
      </w:tr>
      <w:tr w:rsidR="00A106A4" w:rsidRPr="00E5000A" w14:paraId="2FC77DD6" w14:textId="77777777" w:rsidTr="0077408D">
        <w:tc>
          <w:tcPr>
            <w:tcW w:w="360" w:type="dxa"/>
          </w:tcPr>
          <w:p w14:paraId="20ED14F4" w14:textId="77777777" w:rsidR="00A106A4" w:rsidRPr="00E5000A" w:rsidRDefault="00A106A4" w:rsidP="0077408D">
            <w:r w:rsidRPr="00E5000A">
              <w:t>11</w:t>
            </w:r>
          </w:p>
        </w:tc>
        <w:tc>
          <w:tcPr>
            <w:tcW w:w="560" w:type="dxa"/>
          </w:tcPr>
          <w:p w14:paraId="42498D49" w14:textId="77777777" w:rsidR="00A106A4" w:rsidRPr="00E5000A" w:rsidRDefault="00A106A4" w:rsidP="0077408D">
            <w:r w:rsidRPr="00E5000A">
              <w:t>2025</w:t>
            </w:r>
          </w:p>
        </w:tc>
        <w:tc>
          <w:tcPr>
            <w:tcW w:w="1800" w:type="dxa"/>
          </w:tcPr>
          <w:p w14:paraId="1ABE0FA6" w14:textId="77777777" w:rsidR="00A106A4" w:rsidRPr="00E5000A" w:rsidRDefault="00A106A4" w:rsidP="0077408D">
            <w:r w:rsidRPr="00E5000A">
              <w:t>Degen, P.M.; Medo, M.</w:t>
            </w:r>
          </w:p>
        </w:tc>
        <w:tc>
          <w:tcPr>
            <w:tcW w:w="3000" w:type="dxa"/>
          </w:tcPr>
          <w:p w14:paraId="086B1CE3" w14:textId="77777777" w:rsidR="00A106A4" w:rsidRPr="00E5000A" w:rsidRDefault="00A106A4" w:rsidP="0077408D">
            <w:r w:rsidRPr="00E5000A">
              <w:t>Replicability of bulk RNA-Seq differential expression and enrichment analysis results for small cohort sizes</w:t>
            </w:r>
          </w:p>
        </w:tc>
        <w:tc>
          <w:tcPr>
            <w:tcW w:w="1400" w:type="dxa"/>
          </w:tcPr>
          <w:p w14:paraId="103FF22E" w14:textId="77777777" w:rsidR="00A106A4" w:rsidRPr="00E5000A" w:rsidRDefault="00A106A4" w:rsidP="0077408D">
            <w:r w:rsidRPr="00E5000A">
              <w:t>PLOS Computational Biology, 21(5), e1011630</w:t>
            </w:r>
          </w:p>
        </w:tc>
        <w:tc>
          <w:tcPr>
            <w:tcW w:w="960" w:type="dxa"/>
          </w:tcPr>
          <w:p w14:paraId="003A8DA8" w14:textId="77777777" w:rsidR="00A106A4" w:rsidRPr="00E5000A" w:rsidRDefault="00A106A4" w:rsidP="0077408D">
            <w:r w:rsidRPr="00E5000A">
              <w:t>DEA Methodology / RMC Justification</w:t>
            </w:r>
          </w:p>
        </w:tc>
        <w:tc>
          <w:tcPr>
            <w:tcW w:w="2000" w:type="dxa"/>
          </w:tcPr>
          <w:p w14:paraId="61590952" w14:textId="77777777" w:rsidR="00A106A4" w:rsidRPr="00E5000A" w:rsidRDefault="00A106A4" w:rsidP="0077408D">
            <w:r w:rsidRPr="00E5000A">
              <w:t>May 2025 study quantifying bulk RNA-Seq DEG replicability in small cohorts — directly justifies the multi-method RMC strategy</w:t>
            </w:r>
          </w:p>
        </w:tc>
      </w:tr>
      <w:tr w:rsidR="00A106A4" w:rsidRPr="00E5000A" w14:paraId="542823B3" w14:textId="77777777" w:rsidTr="0077408D">
        <w:tc>
          <w:tcPr>
            <w:tcW w:w="360" w:type="dxa"/>
          </w:tcPr>
          <w:p w14:paraId="133343F3" w14:textId="77777777" w:rsidR="00A106A4" w:rsidRPr="00E5000A" w:rsidRDefault="00A106A4" w:rsidP="0077408D">
            <w:r w:rsidRPr="00E5000A">
              <w:t>12</w:t>
            </w:r>
          </w:p>
        </w:tc>
        <w:tc>
          <w:tcPr>
            <w:tcW w:w="560" w:type="dxa"/>
          </w:tcPr>
          <w:p w14:paraId="30C28683" w14:textId="77777777" w:rsidR="00A106A4" w:rsidRPr="00E5000A" w:rsidRDefault="00A106A4" w:rsidP="0077408D">
            <w:r w:rsidRPr="00E5000A">
              <w:t>2025</w:t>
            </w:r>
          </w:p>
        </w:tc>
        <w:tc>
          <w:tcPr>
            <w:tcW w:w="1800" w:type="dxa"/>
          </w:tcPr>
          <w:p w14:paraId="31AF2323" w14:textId="77777777" w:rsidR="00A106A4" w:rsidRPr="00E5000A" w:rsidRDefault="00A106A4" w:rsidP="0077408D">
            <w:r w:rsidRPr="00E5000A">
              <w:t>Zhang, X.</w:t>
            </w:r>
          </w:p>
        </w:tc>
        <w:tc>
          <w:tcPr>
            <w:tcW w:w="3000" w:type="dxa"/>
          </w:tcPr>
          <w:p w14:paraId="26E3BD7F" w14:textId="77777777" w:rsidR="00A106A4" w:rsidRPr="00E5000A" w:rsidRDefault="00A106A4" w:rsidP="0077408D">
            <w:r w:rsidRPr="00E5000A">
              <w:t>Highly effective batch effect correction method for RNA-seq count data (</w:t>
            </w:r>
            <w:proofErr w:type="spellStart"/>
            <w:r w:rsidRPr="00E5000A">
              <w:t>ComBat</w:t>
            </w:r>
            <w:proofErr w:type="spellEnd"/>
            <w:r w:rsidRPr="00E5000A">
              <w:t>-ref)</w:t>
            </w:r>
          </w:p>
        </w:tc>
        <w:tc>
          <w:tcPr>
            <w:tcW w:w="1400" w:type="dxa"/>
          </w:tcPr>
          <w:p w14:paraId="09E98B6E" w14:textId="77777777" w:rsidR="00A106A4" w:rsidRPr="00E5000A" w:rsidRDefault="00A106A4" w:rsidP="0077408D">
            <w:r w:rsidRPr="00E5000A">
              <w:t>Computational and Structural Biotechnology Journal, 27, 58–64</w:t>
            </w:r>
          </w:p>
        </w:tc>
        <w:tc>
          <w:tcPr>
            <w:tcW w:w="960" w:type="dxa"/>
          </w:tcPr>
          <w:p w14:paraId="5F96A9B7" w14:textId="77777777" w:rsidR="00A106A4" w:rsidRPr="00E5000A" w:rsidRDefault="00A106A4" w:rsidP="0077408D">
            <w:r w:rsidRPr="00E5000A">
              <w:t>Batch Correction / QC</w:t>
            </w:r>
          </w:p>
        </w:tc>
        <w:tc>
          <w:tcPr>
            <w:tcW w:w="2000" w:type="dxa"/>
          </w:tcPr>
          <w:p w14:paraId="31F9B882" w14:textId="77777777" w:rsidR="00A106A4" w:rsidRPr="00E5000A" w:rsidRDefault="00A106A4" w:rsidP="0077408D">
            <w:r w:rsidRPr="00E5000A">
              <w:t xml:space="preserve">January 2025 paper improving </w:t>
            </w:r>
            <w:proofErr w:type="spellStart"/>
            <w:r w:rsidRPr="00E5000A">
              <w:t>ComBat</w:t>
            </w:r>
            <w:proofErr w:type="spellEnd"/>
            <w:r w:rsidRPr="00E5000A">
              <w:t xml:space="preserve">-Seq (the batch correction method used in the base paper) — validates and </w:t>
            </w:r>
            <w:proofErr w:type="spellStart"/>
            <w:r w:rsidRPr="00E5000A">
              <w:t>contextualises</w:t>
            </w:r>
            <w:proofErr w:type="spellEnd"/>
            <w:r w:rsidRPr="00E5000A">
              <w:t xml:space="preserve"> multi-study integration</w:t>
            </w:r>
          </w:p>
        </w:tc>
      </w:tr>
      <w:tr w:rsidR="00A106A4" w:rsidRPr="00E5000A" w14:paraId="15E23F64" w14:textId="77777777" w:rsidTr="0077408D">
        <w:tc>
          <w:tcPr>
            <w:tcW w:w="360" w:type="dxa"/>
          </w:tcPr>
          <w:p w14:paraId="22EE6704" w14:textId="77777777" w:rsidR="00A106A4" w:rsidRPr="00E5000A" w:rsidRDefault="00A106A4" w:rsidP="0077408D">
            <w:r w:rsidRPr="00E5000A">
              <w:t>13</w:t>
            </w:r>
          </w:p>
        </w:tc>
        <w:tc>
          <w:tcPr>
            <w:tcW w:w="560" w:type="dxa"/>
          </w:tcPr>
          <w:p w14:paraId="2EF2C7E4" w14:textId="77777777" w:rsidR="00A106A4" w:rsidRPr="00E5000A" w:rsidRDefault="00A106A4" w:rsidP="0077408D">
            <w:r w:rsidRPr="00E5000A">
              <w:t>2020</w:t>
            </w:r>
          </w:p>
        </w:tc>
        <w:tc>
          <w:tcPr>
            <w:tcW w:w="1800" w:type="dxa"/>
          </w:tcPr>
          <w:p w14:paraId="32EB3B96" w14:textId="77777777" w:rsidR="00A106A4" w:rsidRPr="00E5000A" w:rsidRDefault="00A106A4" w:rsidP="0077408D">
            <w:r w:rsidRPr="00E5000A">
              <w:t xml:space="preserve">Dorrity, M.W.; Saunders, L.M.; </w:t>
            </w:r>
            <w:proofErr w:type="spellStart"/>
            <w:r w:rsidRPr="00E5000A">
              <w:t>Queitsch</w:t>
            </w:r>
            <w:proofErr w:type="spellEnd"/>
            <w:r w:rsidRPr="00E5000A">
              <w:t>, C.; Fields, S.; Trapnell, C.</w:t>
            </w:r>
          </w:p>
        </w:tc>
        <w:tc>
          <w:tcPr>
            <w:tcW w:w="3000" w:type="dxa"/>
          </w:tcPr>
          <w:p w14:paraId="0559C775" w14:textId="77777777" w:rsidR="00A106A4" w:rsidRPr="00E5000A" w:rsidRDefault="00A106A4" w:rsidP="0077408D">
            <w:r w:rsidRPr="00E5000A">
              <w:t>Dimensionality reduction by UMAP to visualize physical and genetic interactions</w:t>
            </w:r>
          </w:p>
        </w:tc>
        <w:tc>
          <w:tcPr>
            <w:tcW w:w="1400" w:type="dxa"/>
          </w:tcPr>
          <w:p w14:paraId="60457E70" w14:textId="77777777" w:rsidR="00A106A4" w:rsidRPr="00E5000A" w:rsidRDefault="00A106A4" w:rsidP="0077408D">
            <w:r w:rsidRPr="00E5000A">
              <w:t>Nature Communications, 11, 1537</w:t>
            </w:r>
          </w:p>
        </w:tc>
        <w:tc>
          <w:tcPr>
            <w:tcW w:w="960" w:type="dxa"/>
          </w:tcPr>
          <w:p w14:paraId="65106B99" w14:textId="77777777" w:rsidR="00A106A4" w:rsidRPr="00E5000A" w:rsidRDefault="00A106A4" w:rsidP="0077408D">
            <w:r w:rsidRPr="00E5000A">
              <w:t>Outlier Detection / QC</w:t>
            </w:r>
          </w:p>
        </w:tc>
        <w:tc>
          <w:tcPr>
            <w:tcW w:w="2000" w:type="dxa"/>
          </w:tcPr>
          <w:p w14:paraId="41FCAF6A" w14:textId="77777777" w:rsidR="00A106A4" w:rsidRPr="00E5000A" w:rsidRDefault="00A106A4" w:rsidP="0077408D">
            <w:r w:rsidRPr="00E5000A">
              <w:t>Validates UMAP for bulk transcriptomic sample clustering and outlier identification</w:t>
            </w:r>
          </w:p>
        </w:tc>
      </w:tr>
      <w:tr w:rsidR="00A106A4" w:rsidRPr="00E5000A" w14:paraId="2A3DFA5A" w14:textId="77777777" w:rsidTr="0077408D">
        <w:tc>
          <w:tcPr>
            <w:tcW w:w="360" w:type="dxa"/>
          </w:tcPr>
          <w:p w14:paraId="23A6968D" w14:textId="77777777" w:rsidR="00A106A4" w:rsidRPr="00E5000A" w:rsidRDefault="00A106A4" w:rsidP="0077408D">
            <w:r w:rsidRPr="00E5000A">
              <w:t>14</w:t>
            </w:r>
          </w:p>
        </w:tc>
        <w:tc>
          <w:tcPr>
            <w:tcW w:w="560" w:type="dxa"/>
          </w:tcPr>
          <w:p w14:paraId="48EA740B" w14:textId="77777777" w:rsidR="00A106A4" w:rsidRPr="00E5000A" w:rsidRDefault="00A106A4" w:rsidP="0077408D">
            <w:r w:rsidRPr="00E5000A">
              <w:t>2023</w:t>
            </w:r>
          </w:p>
        </w:tc>
        <w:tc>
          <w:tcPr>
            <w:tcW w:w="1800" w:type="dxa"/>
          </w:tcPr>
          <w:p w14:paraId="65729526" w14:textId="77777777" w:rsidR="00A106A4" w:rsidRPr="00E5000A" w:rsidRDefault="00A106A4" w:rsidP="0077408D">
            <w:r w:rsidRPr="00E5000A">
              <w:t xml:space="preserve">Kircher, M.; </w:t>
            </w:r>
            <w:proofErr w:type="spellStart"/>
            <w:r w:rsidRPr="00E5000A">
              <w:t>Säurich</w:t>
            </w:r>
            <w:proofErr w:type="spellEnd"/>
            <w:r w:rsidRPr="00E5000A">
              <w:t>, J.; Selle, M.; Jung, K.</w:t>
            </w:r>
          </w:p>
        </w:tc>
        <w:tc>
          <w:tcPr>
            <w:tcW w:w="3000" w:type="dxa"/>
          </w:tcPr>
          <w:p w14:paraId="77D0B3C2" w14:textId="77777777" w:rsidR="00A106A4" w:rsidRPr="00E5000A" w:rsidRDefault="00A106A4" w:rsidP="0077408D">
            <w:r w:rsidRPr="00E5000A">
              <w:t>Assessing Outlier Probabilities in Transcriptomics Data When Evaluating a Classifier</w:t>
            </w:r>
          </w:p>
        </w:tc>
        <w:tc>
          <w:tcPr>
            <w:tcW w:w="1400" w:type="dxa"/>
          </w:tcPr>
          <w:p w14:paraId="1C8D1B54" w14:textId="77777777" w:rsidR="00A106A4" w:rsidRPr="00E5000A" w:rsidRDefault="00A106A4" w:rsidP="0077408D">
            <w:r w:rsidRPr="00E5000A">
              <w:t>Genes (Basel), 14(2), 387</w:t>
            </w:r>
          </w:p>
        </w:tc>
        <w:tc>
          <w:tcPr>
            <w:tcW w:w="960" w:type="dxa"/>
          </w:tcPr>
          <w:p w14:paraId="6C5E371C" w14:textId="77777777" w:rsidR="00A106A4" w:rsidRPr="00E5000A" w:rsidRDefault="00A106A4" w:rsidP="0077408D">
            <w:r w:rsidRPr="00E5000A">
              <w:t>Outlier Detection / QC</w:t>
            </w:r>
          </w:p>
        </w:tc>
        <w:tc>
          <w:tcPr>
            <w:tcW w:w="2000" w:type="dxa"/>
          </w:tcPr>
          <w:p w14:paraId="757525F4" w14:textId="77777777" w:rsidR="00A106A4" w:rsidRPr="00E5000A" w:rsidRDefault="00A106A4" w:rsidP="0077408D">
            <w:r w:rsidRPr="00E5000A">
              <w:t>Quantifies the impact of transcriptomic outliers on classifier performance, justifying pre-DEA outlier removal</w:t>
            </w:r>
          </w:p>
        </w:tc>
      </w:tr>
      <w:tr w:rsidR="00A106A4" w:rsidRPr="00E5000A" w14:paraId="6376167B" w14:textId="77777777" w:rsidTr="0077408D">
        <w:tc>
          <w:tcPr>
            <w:tcW w:w="360" w:type="dxa"/>
          </w:tcPr>
          <w:p w14:paraId="26BA1A26" w14:textId="77777777" w:rsidR="00A106A4" w:rsidRPr="00E5000A" w:rsidRDefault="00A106A4" w:rsidP="0077408D">
            <w:r w:rsidRPr="00E5000A">
              <w:t>15</w:t>
            </w:r>
          </w:p>
        </w:tc>
        <w:tc>
          <w:tcPr>
            <w:tcW w:w="560" w:type="dxa"/>
          </w:tcPr>
          <w:p w14:paraId="4C89FA46" w14:textId="77777777" w:rsidR="00A106A4" w:rsidRPr="00E5000A" w:rsidRDefault="00A106A4" w:rsidP="0077408D">
            <w:r w:rsidRPr="00E5000A">
              <w:t>2020</w:t>
            </w:r>
          </w:p>
        </w:tc>
        <w:tc>
          <w:tcPr>
            <w:tcW w:w="1800" w:type="dxa"/>
          </w:tcPr>
          <w:p w14:paraId="64531A6E" w14:textId="77777777" w:rsidR="00A106A4" w:rsidRPr="00E5000A" w:rsidRDefault="00A106A4" w:rsidP="0077408D">
            <w:r w:rsidRPr="00E5000A">
              <w:t>Tian, Y.; Lu, J.; Hao, X.; Li, H.; Zhang, G.; Liu, X.; et al.</w:t>
            </w:r>
          </w:p>
        </w:tc>
        <w:tc>
          <w:tcPr>
            <w:tcW w:w="3000" w:type="dxa"/>
          </w:tcPr>
          <w:p w14:paraId="6329E758" w14:textId="77777777" w:rsidR="00A106A4" w:rsidRPr="00E5000A" w:rsidRDefault="00A106A4" w:rsidP="0077408D">
            <w:r w:rsidRPr="00E5000A">
              <w:t xml:space="preserve">FTH1 Inhibits Ferroptosis Through </w:t>
            </w:r>
            <w:proofErr w:type="spellStart"/>
            <w:r w:rsidRPr="00E5000A">
              <w:t>Ferritinophagy</w:t>
            </w:r>
            <w:proofErr w:type="spellEnd"/>
            <w:r w:rsidRPr="00E5000A">
              <w:t xml:space="preserve"> in the 6-OHDA Model of Parkinson's Disease</w:t>
            </w:r>
          </w:p>
        </w:tc>
        <w:tc>
          <w:tcPr>
            <w:tcW w:w="1400" w:type="dxa"/>
          </w:tcPr>
          <w:p w14:paraId="599CFEB2" w14:textId="77777777" w:rsidR="00A106A4" w:rsidRPr="00E5000A" w:rsidRDefault="00A106A4" w:rsidP="0077408D">
            <w:r w:rsidRPr="00E5000A">
              <w:t>Neurotherapeutics, 17, 1796–1812</w:t>
            </w:r>
          </w:p>
        </w:tc>
        <w:tc>
          <w:tcPr>
            <w:tcW w:w="960" w:type="dxa"/>
          </w:tcPr>
          <w:p w14:paraId="76E3E9CC" w14:textId="77777777" w:rsidR="00A106A4" w:rsidRPr="00E5000A" w:rsidRDefault="00A106A4" w:rsidP="0077408D">
            <w:r w:rsidRPr="00E5000A">
              <w:t>FTH1 / Ferroptosis Biology</w:t>
            </w:r>
          </w:p>
        </w:tc>
        <w:tc>
          <w:tcPr>
            <w:tcW w:w="2000" w:type="dxa"/>
          </w:tcPr>
          <w:p w14:paraId="208D2FF9" w14:textId="77777777" w:rsidR="00A106A4" w:rsidRPr="00E5000A" w:rsidRDefault="00A106A4" w:rsidP="0077408D">
            <w:r w:rsidRPr="00E5000A">
              <w:t>Establishes the FTH1–ferroptosis–</w:t>
            </w:r>
            <w:proofErr w:type="spellStart"/>
            <w:r w:rsidRPr="00E5000A">
              <w:t>ferritinophagy</w:t>
            </w:r>
            <w:proofErr w:type="spellEnd"/>
            <w:r w:rsidRPr="00E5000A">
              <w:t xml:space="preserve"> mechanism directly relevant to the confirmed FTH1 biomarker finding</w:t>
            </w:r>
          </w:p>
        </w:tc>
      </w:tr>
      <w:tr w:rsidR="00A106A4" w:rsidRPr="00E5000A" w14:paraId="769275F1" w14:textId="77777777" w:rsidTr="0077408D">
        <w:tc>
          <w:tcPr>
            <w:tcW w:w="360" w:type="dxa"/>
          </w:tcPr>
          <w:p w14:paraId="44496146" w14:textId="77777777" w:rsidR="00A106A4" w:rsidRPr="00E5000A" w:rsidRDefault="00A106A4" w:rsidP="0077408D">
            <w:r w:rsidRPr="00E5000A">
              <w:lastRenderedPageBreak/>
              <w:t>16</w:t>
            </w:r>
          </w:p>
        </w:tc>
        <w:tc>
          <w:tcPr>
            <w:tcW w:w="560" w:type="dxa"/>
          </w:tcPr>
          <w:p w14:paraId="4E25862F" w14:textId="77777777" w:rsidR="00A106A4" w:rsidRPr="00E5000A" w:rsidRDefault="00A106A4" w:rsidP="0077408D">
            <w:r w:rsidRPr="00E5000A">
              <w:t>2024</w:t>
            </w:r>
          </w:p>
        </w:tc>
        <w:tc>
          <w:tcPr>
            <w:tcW w:w="1800" w:type="dxa"/>
          </w:tcPr>
          <w:p w14:paraId="1099850E" w14:textId="77777777" w:rsidR="00A106A4" w:rsidRPr="00E5000A" w:rsidRDefault="00A106A4" w:rsidP="0077408D">
            <w:r w:rsidRPr="00E5000A">
              <w:t xml:space="preserve">Cantor, E.; </w:t>
            </w:r>
            <w:proofErr w:type="spellStart"/>
            <w:r w:rsidRPr="00E5000A">
              <w:t>Guauque</w:t>
            </w:r>
            <w:proofErr w:type="spellEnd"/>
            <w:r w:rsidRPr="00E5000A">
              <w:t>-Olarte, S.; León, R.; et al.</w:t>
            </w:r>
          </w:p>
        </w:tc>
        <w:tc>
          <w:tcPr>
            <w:tcW w:w="3000" w:type="dxa"/>
          </w:tcPr>
          <w:p w14:paraId="6C92249A" w14:textId="77777777" w:rsidR="00A106A4" w:rsidRPr="00E5000A" w:rsidRDefault="00A106A4" w:rsidP="0077408D">
            <w:r w:rsidRPr="00E5000A">
              <w:t>Knowledge-slanted random forest method for high-dimensional data and small sample size with a feature selection application for gene expression data</w:t>
            </w:r>
          </w:p>
        </w:tc>
        <w:tc>
          <w:tcPr>
            <w:tcW w:w="1400" w:type="dxa"/>
          </w:tcPr>
          <w:p w14:paraId="3D9322D4" w14:textId="77777777" w:rsidR="00A106A4" w:rsidRPr="00E5000A" w:rsidRDefault="00A106A4" w:rsidP="0077408D">
            <w:proofErr w:type="spellStart"/>
            <w:r w:rsidRPr="00E5000A">
              <w:t>BioData</w:t>
            </w:r>
            <w:proofErr w:type="spellEnd"/>
            <w:r w:rsidRPr="00E5000A">
              <w:t xml:space="preserve"> Mining, 17, 34</w:t>
            </w:r>
          </w:p>
        </w:tc>
        <w:tc>
          <w:tcPr>
            <w:tcW w:w="960" w:type="dxa"/>
          </w:tcPr>
          <w:p w14:paraId="50ABF4A8" w14:textId="77777777" w:rsidR="00A106A4" w:rsidRPr="00E5000A" w:rsidRDefault="00A106A4" w:rsidP="0077408D">
            <w:r w:rsidRPr="00E5000A">
              <w:t>ML Feature Selection</w:t>
            </w:r>
          </w:p>
        </w:tc>
        <w:tc>
          <w:tcPr>
            <w:tcW w:w="2000" w:type="dxa"/>
          </w:tcPr>
          <w:p w14:paraId="6FD5C278" w14:textId="77777777" w:rsidR="00A106A4" w:rsidRPr="00E5000A" w:rsidRDefault="00A106A4" w:rsidP="0077408D">
            <w:r w:rsidRPr="00E5000A">
              <w:t>Provides theoretical grounding for RF-based gene feature selection in the 'large p, small n' genomics setting</w:t>
            </w:r>
          </w:p>
        </w:tc>
      </w:tr>
      <w:tr w:rsidR="00A106A4" w:rsidRPr="00E5000A" w14:paraId="7ABB754C" w14:textId="77777777" w:rsidTr="0077408D">
        <w:tc>
          <w:tcPr>
            <w:tcW w:w="360" w:type="dxa"/>
          </w:tcPr>
          <w:p w14:paraId="6BC3A498" w14:textId="77777777" w:rsidR="00A106A4" w:rsidRPr="00E5000A" w:rsidRDefault="00A106A4" w:rsidP="0077408D">
            <w:r w:rsidRPr="00E5000A">
              <w:t>17</w:t>
            </w:r>
          </w:p>
        </w:tc>
        <w:tc>
          <w:tcPr>
            <w:tcW w:w="560" w:type="dxa"/>
          </w:tcPr>
          <w:p w14:paraId="4B8E59C6" w14:textId="77777777" w:rsidR="00A106A4" w:rsidRPr="00E5000A" w:rsidRDefault="00A106A4" w:rsidP="0077408D">
            <w:r w:rsidRPr="00E5000A">
              <w:t>2024</w:t>
            </w:r>
          </w:p>
        </w:tc>
        <w:tc>
          <w:tcPr>
            <w:tcW w:w="1800" w:type="dxa"/>
          </w:tcPr>
          <w:p w14:paraId="2F16D2D4" w14:textId="77777777" w:rsidR="00A106A4" w:rsidRPr="00E5000A" w:rsidRDefault="00A106A4" w:rsidP="0077408D">
            <w:r w:rsidRPr="00E5000A">
              <w:t>Gao, S.; Wang, Y.; Wang, J.; et al.</w:t>
            </w:r>
          </w:p>
        </w:tc>
        <w:tc>
          <w:tcPr>
            <w:tcW w:w="3000" w:type="dxa"/>
          </w:tcPr>
          <w:p w14:paraId="19A2D6F3" w14:textId="77777777" w:rsidR="00A106A4" w:rsidRPr="00E5000A" w:rsidRDefault="00A106A4" w:rsidP="0077408D">
            <w:r w:rsidRPr="00E5000A">
              <w:t>Leveraging explainable deep learning methodologies to elucidate the biological underpinnings of Huntington's disease using single-cell RNA sequencing data</w:t>
            </w:r>
          </w:p>
        </w:tc>
        <w:tc>
          <w:tcPr>
            <w:tcW w:w="1400" w:type="dxa"/>
          </w:tcPr>
          <w:p w14:paraId="171CEA24" w14:textId="77777777" w:rsidR="00A106A4" w:rsidRPr="00E5000A" w:rsidRDefault="00A106A4" w:rsidP="0077408D">
            <w:r w:rsidRPr="00E5000A">
              <w:t>BMC Genomics, 25, 930</w:t>
            </w:r>
          </w:p>
        </w:tc>
        <w:tc>
          <w:tcPr>
            <w:tcW w:w="960" w:type="dxa"/>
          </w:tcPr>
          <w:p w14:paraId="4B4F33F4" w14:textId="77777777" w:rsidR="00A106A4" w:rsidRPr="00E5000A" w:rsidRDefault="00A106A4" w:rsidP="0077408D">
            <w:r w:rsidRPr="00E5000A">
              <w:t>ML for HD Transcriptomics</w:t>
            </w:r>
          </w:p>
        </w:tc>
        <w:tc>
          <w:tcPr>
            <w:tcW w:w="2000" w:type="dxa"/>
          </w:tcPr>
          <w:p w14:paraId="3888FF6B" w14:textId="77777777" w:rsidR="00A106A4" w:rsidRPr="00E5000A" w:rsidRDefault="00A106A4" w:rsidP="0077408D">
            <w:proofErr w:type="spellStart"/>
            <w:r w:rsidRPr="00E5000A">
              <w:t>Contextualises</w:t>
            </w:r>
            <w:proofErr w:type="spellEnd"/>
            <w:r w:rsidRPr="00E5000A">
              <w:t xml:space="preserve"> the RF classifier (AUC=0.938) within ML-based HD transcriptomics classifiers</w:t>
            </w:r>
          </w:p>
        </w:tc>
      </w:tr>
      <w:tr w:rsidR="00A106A4" w:rsidRPr="00E5000A" w14:paraId="00AD9652" w14:textId="77777777" w:rsidTr="0077408D">
        <w:tc>
          <w:tcPr>
            <w:tcW w:w="360" w:type="dxa"/>
          </w:tcPr>
          <w:p w14:paraId="048FE51E" w14:textId="77777777" w:rsidR="00A106A4" w:rsidRPr="00E5000A" w:rsidRDefault="00A106A4" w:rsidP="0077408D">
            <w:r w:rsidRPr="00E5000A">
              <w:t>18</w:t>
            </w:r>
          </w:p>
        </w:tc>
        <w:tc>
          <w:tcPr>
            <w:tcW w:w="560" w:type="dxa"/>
          </w:tcPr>
          <w:p w14:paraId="1F5550CB" w14:textId="77777777" w:rsidR="00A106A4" w:rsidRPr="00E5000A" w:rsidRDefault="00A106A4" w:rsidP="0077408D">
            <w:r w:rsidRPr="00E5000A">
              <w:t>2025</w:t>
            </w:r>
          </w:p>
        </w:tc>
        <w:tc>
          <w:tcPr>
            <w:tcW w:w="1800" w:type="dxa"/>
          </w:tcPr>
          <w:p w14:paraId="27094B9F" w14:textId="77777777" w:rsidR="00A106A4" w:rsidRPr="00E5000A" w:rsidRDefault="00A106A4" w:rsidP="0077408D">
            <w:r w:rsidRPr="00E5000A">
              <w:t>Wang, J.; et al.</w:t>
            </w:r>
          </w:p>
        </w:tc>
        <w:tc>
          <w:tcPr>
            <w:tcW w:w="3000" w:type="dxa"/>
          </w:tcPr>
          <w:p w14:paraId="2AA6DE5E" w14:textId="77777777" w:rsidR="00A106A4" w:rsidRPr="00E5000A" w:rsidRDefault="00A106A4" w:rsidP="0077408D">
            <w:r w:rsidRPr="00E5000A">
              <w:t xml:space="preserve">In </w:t>
            </w:r>
            <w:proofErr w:type="spellStart"/>
            <w:r w:rsidRPr="00E5000A">
              <w:t>defence</w:t>
            </w:r>
            <w:proofErr w:type="spellEnd"/>
            <w:r w:rsidRPr="00E5000A">
              <w:t xml:space="preserve"> of ferroptosis</w:t>
            </w:r>
          </w:p>
        </w:tc>
        <w:tc>
          <w:tcPr>
            <w:tcW w:w="1400" w:type="dxa"/>
          </w:tcPr>
          <w:p w14:paraId="5EAD7A30" w14:textId="77777777" w:rsidR="00A106A4" w:rsidRPr="00E5000A" w:rsidRDefault="00A106A4" w:rsidP="0077408D">
            <w:r w:rsidRPr="00E5000A">
              <w:t>Signal Transduction and Targeted Therapy, 10, 2</w:t>
            </w:r>
          </w:p>
        </w:tc>
        <w:tc>
          <w:tcPr>
            <w:tcW w:w="960" w:type="dxa"/>
          </w:tcPr>
          <w:p w14:paraId="40356C90" w14:textId="77777777" w:rsidR="00A106A4" w:rsidRPr="00E5000A" w:rsidRDefault="00A106A4" w:rsidP="0077408D">
            <w:r w:rsidRPr="00E5000A">
              <w:t>FTH1 / Ferroptosis Biology</w:t>
            </w:r>
          </w:p>
        </w:tc>
        <w:tc>
          <w:tcPr>
            <w:tcW w:w="2000" w:type="dxa"/>
          </w:tcPr>
          <w:p w14:paraId="5C92A415" w14:textId="77777777" w:rsidR="00A106A4" w:rsidRPr="00E5000A" w:rsidRDefault="00A106A4" w:rsidP="0077408D">
            <w:r w:rsidRPr="00E5000A">
              <w:t xml:space="preserve">Comprehensive January 2025 review of ferroptosis </w:t>
            </w:r>
            <w:proofErr w:type="spellStart"/>
            <w:r w:rsidRPr="00E5000A">
              <w:t>defence</w:t>
            </w:r>
            <w:proofErr w:type="spellEnd"/>
            <w:r w:rsidRPr="00E5000A">
              <w:t xml:space="preserve"> mechanisms with FTH1 molecular detail</w:t>
            </w:r>
          </w:p>
        </w:tc>
      </w:tr>
      <w:tr w:rsidR="00A106A4" w:rsidRPr="00E5000A" w14:paraId="26C56909" w14:textId="77777777" w:rsidTr="0077408D">
        <w:tc>
          <w:tcPr>
            <w:tcW w:w="360" w:type="dxa"/>
          </w:tcPr>
          <w:p w14:paraId="1E6C6F5B" w14:textId="77777777" w:rsidR="00A106A4" w:rsidRPr="00E5000A" w:rsidRDefault="00A106A4" w:rsidP="0077408D">
            <w:r w:rsidRPr="00E5000A">
              <w:t>19</w:t>
            </w:r>
          </w:p>
        </w:tc>
        <w:tc>
          <w:tcPr>
            <w:tcW w:w="560" w:type="dxa"/>
          </w:tcPr>
          <w:p w14:paraId="40F8A5F0" w14:textId="77777777" w:rsidR="00A106A4" w:rsidRPr="00E5000A" w:rsidRDefault="00A106A4" w:rsidP="0077408D">
            <w:r w:rsidRPr="00E5000A">
              <w:t>2025</w:t>
            </w:r>
          </w:p>
        </w:tc>
        <w:tc>
          <w:tcPr>
            <w:tcW w:w="1800" w:type="dxa"/>
          </w:tcPr>
          <w:p w14:paraId="1E02D027" w14:textId="77777777" w:rsidR="00A106A4" w:rsidRPr="00E5000A" w:rsidRDefault="00A106A4" w:rsidP="0077408D">
            <w:proofErr w:type="spellStart"/>
            <w:r w:rsidRPr="00E5000A">
              <w:t>Aguzzoli</w:t>
            </w:r>
            <w:proofErr w:type="spellEnd"/>
            <w:r w:rsidRPr="00E5000A">
              <w:t xml:space="preserve"> Heberle, B.; Bhatt, P.; Bhatt, D.L.; et al.</w:t>
            </w:r>
          </w:p>
        </w:tc>
        <w:tc>
          <w:tcPr>
            <w:tcW w:w="3000" w:type="dxa"/>
          </w:tcPr>
          <w:p w14:paraId="6CF82FDF" w14:textId="77777777" w:rsidR="00A106A4" w:rsidRPr="00E5000A" w:rsidRDefault="00A106A4" w:rsidP="0077408D">
            <w:r w:rsidRPr="00E5000A">
              <w:t xml:space="preserve">Systematic review and meta-analysis of bulk </w:t>
            </w:r>
            <w:proofErr w:type="spellStart"/>
            <w:r w:rsidRPr="00E5000A">
              <w:t>RNAseq</w:t>
            </w:r>
            <w:proofErr w:type="spellEnd"/>
            <w:r w:rsidRPr="00E5000A">
              <w:t xml:space="preserve"> studies in human Alzheimer's disease brain tissue</w:t>
            </w:r>
          </w:p>
        </w:tc>
        <w:tc>
          <w:tcPr>
            <w:tcW w:w="1400" w:type="dxa"/>
          </w:tcPr>
          <w:p w14:paraId="085177B3" w14:textId="77777777" w:rsidR="00A106A4" w:rsidRPr="00E5000A" w:rsidRDefault="00A106A4" w:rsidP="0077408D">
            <w:r w:rsidRPr="00E5000A">
              <w:t>Alzheimer's &amp; Dementia, e70025</w:t>
            </w:r>
          </w:p>
        </w:tc>
        <w:tc>
          <w:tcPr>
            <w:tcW w:w="960" w:type="dxa"/>
          </w:tcPr>
          <w:p w14:paraId="3869C0E8" w14:textId="77777777" w:rsidR="00A106A4" w:rsidRPr="00E5000A" w:rsidRDefault="00A106A4" w:rsidP="0077408D">
            <w:r w:rsidRPr="00E5000A">
              <w:t>AD Transcriptomics / Novelty Validation</w:t>
            </w:r>
          </w:p>
        </w:tc>
        <w:tc>
          <w:tcPr>
            <w:tcW w:w="2000" w:type="dxa"/>
          </w:tcPr>
          <w:p w14:paraId="4C1A4492" w14:textId="77777777" w:rsidR="00A106A4" w:rsidRPr="00E5000A" w:rsidRDefault="00A106A4" w:rsidP="0077408D">
            <w:r w:rsidRPr="00E5000A">
              <w:t>March 2025 meta-analysis of all bulk RNA-Seq AD brain studies — most comprehensive external validation of the AD novelty arm methodology</w:t>
            </w:r>
          </w:p>
        </w:tc>
      </w:tr>
      <w:tr w:rsidR="00A106A4" w:rsidRPr="00E5000A" w14:paraId="0D14969C" w14:textId="77777777" w:rsidTr="0077408D">
        <w:tc>
          <w:tcPr>
            <w:tcW w:w="360" w:type="dxa"/>
          </w:tcPr>
          <w:p w14:paraId="7E5B497E" w14:textId="77777777" w:rsidR="00A106A4" w:rsidRPr="00E5000A" w:rsidRDefault="00A106A4" w:rsidP="0077408D">
            <w:r w:rsidRPr="00E5000A">
              <w:t>20</w:t>
            </w:r>
          </w:p>
        </w:tc>
        <w:tc>
          <w:tcPr>
            <w:tcW w:w="560" w:type="dxa"/>
          </w:tcPr>
          <w:p w14:paraId="0F1F7511" w14:textId="77777777" w:rsidR="00A106A4" w:rsidRPr="00E5000A" w:rsidRDefault="00A106A4" w:rsidP="0077408D">
            <w:r w:rsidRPr="00E5000A">
              <w:t>2025</w:t>
            </w:r>
          </w:p>
        </w:tc>
        <w:tc>
          <w:tcPr>
            <w:tcW w:w="1800" w:type="dxa"/>
          </w:tcPr>
          <w:p w14:paraId="44DABE41" w14:textId="77777777" w:rsidR="00A106A4" w:rsidRPr="00E5000A" w:rsidRDefault="00A106A4" w:rsidP="0077408D">
            <w:proofErr w:type="spellStart"/>
            <w:r w:rsidRPr="00E5000A">
              <w:t>Aerqin</w:t>
            </w:r>
            <w:proofErr w:type="spellEnd"/>
            <w:r w:rsidRPr="00E5000A">
              <w:t>, Q.; et al.</w:t>
            </w:r>
          </w:p>
        </w:tc>
        <w:tc>
          <w:tcPr>
            <w:tcW w:w="3000" w:type="dxa"/>
          </w:tcPr>
          <w:p w14:paraId="16C19C7B" w14:textId="77777777" w:rsidR="00A106A4" w:rsidRPr="00E5000A" w:rsidRDefault="00A106A4" w:rsidP="0077408D">
            <w:r w:rsidRPr="00E5000A">
              <w:t>Biomarker Identification for Alzheimer's Disease Using a Multi-Filter Gene Selection Approach</w:t>
            </w:r>
          </w:p>
        </w:tc>
        <w:tc>
          <w:tcPr>
            <w:tcW w:w="1400" w:type="dxa"/>
          </w:tcPr>
          <w:p w14:paraId="1C9CDE7F" w14:textId="77777777" w:rsidR="00A106A4" w:rsidRPr="00E5000A" w:rsidRDefault="00A106A4" w:rsidP="0077408D">
            <w:r w:rsidRPr="00E5000A">
              <w:t>International Journal of Molecular Sciences, 26(5), 1816</w:t>
            </w:r>
          </w:p>
        </w:tc>
        <w:tc>
          <w:tcPr>
            <w:tcW w:w="960" w:type="dxa"/>
          </w:tcPr>
          <w:p w14:paraId="49107060" w14:textId="77777777" w:rsidR="00A106A4" w:rsidRPr="00E5000A" w:rsidRDefault="00A106A4" w:rsidP="0077408D">
            <w:r w:rsidRPr="00E5000A">
              <w:t>AD Transcriptomics / Novelty Validation</w:t>
            </w:r>
          </w:p>
        </w:tc>
        <w:tc>
          <w:tcPr>
            <w:tcW w:w="2000" w:type="dxa"/>
          </w:tcPr>
          <w:p w14:paraId="16B3DC3C" w14:textId="77777777" w:rsidR="00A106A4" w:rsidRPr="00E5000A" w:rsidRDefault="00A106A4" w:rsidP="0077408D">
            <w:r w:rsidRPr="00E5000A">
              <w:t xml:space="preserve">Independently analyses GSE132903 (the project's AD dataset) with </w:t>
            </w:r>
            <w:proofErr w:type="spellStart"/>
            <w:r w:rsidRPr="00E5000A">
              <w:t>limma+RF</w:t>
            </w:r>
            <w:proofErr w:type="spellEnd"/>
            <w:r w:rsidRPr="00E5000A">
              <w:t xml:space="preserve"> — direct pipeline validation</w:t>
            </w:r>
          </w:p>
        </w:tc>
      </w:tr>
      <w:tr w:rsidR="00A106A4" w:rsidRPr="00E5000A" w14:paraId="3BBED971" w14:textId="77777777" w:rsidTr="0077408D">
        <w:tc>
          <w:tcPr>
            <w:tcW w:w="360" w:type="dxa"/>
          </w:tcPr>
          <w:p w14:paraId="69E2839C" w14:textId="77777777" w:rsidR="00A106A4" w:rsidRPr="00E5000A" w:rsidRDefault="00A106A4" w:rsidP="0077408D">
            <w:r w:rsidRPr="00E5000A">
              <w:t>21</w:t>
            </w:r>
          </w:p>
        </w:tc>
        <w:tc>
          <w:tcPr>
            <w:tcW w:w="560" w:type="dxa"/>
          </w:tcPr>
          <w:p w14:paraId="31DFE691" w14:textId="77777777" w:rsidR="00A106A4" w:rsidRPr="00E5000A" w:rsidRDefault="00A106A4" w:rsidP="0077408D">
            <w:r w:rsidRPr="00E5000A">
              <w:t>2026</w:t>
            </w:r>
          </w:p>
        </w:tc>
        <w:tc>
          <w:tcPr>
            <w:tcW w:w="1800" w:type="dxa"/>
          </w:tcPr>
          <w:p w14:paraId="759D1BEB" w14:textId="77777777" w:rsidR="00A106A4" w:rsidRPr="00E5000A" w:rsidRDefault="00A106A4" w:rsidP="0077408D">
            <w:r w:rsidRPr="00E5000A">
              <w:t>Bhat, S.S.; Niranjan, V.; Chandran, T.; Kulkarni, S.R.; et al.</w:t>
            </w:r>
          </w:p>
        </w:tc>
        <w:tc>
          <w:tcPr>
            <w:tcW w:w="3000" w:type="dxa"/>
          </w:tcPr>
          <w:p w14:paraId="2744FF02" w14:textId="77777777" w:rsidR="00A106A4" w:rsidRPr="00E5000A" w:rsidRDefault="00A106A4" w:rsidP="0077408D">
            <w:r w:rsidRPr="00E5000A">
              <w:t>Multi-omics integration and machine learning reveal biomarker networks and therapeutic targets in Alzheimer's disease</w:t>
            </w:r>
          </w:p>
        </w:tc>
        <w:tc>
          <w:tcPr>
            <w:tcW w:w="1400" w:type="dxa"/>
          </w:tcPr>
          <w:p w14:paraId="1CF7B423" w14:textId="77777777" w:rsidR="00A106A4" w:rsidRPr="00E5000A" w:rsidRDefault="00A106A4" w:rsidP="0077408D">
            <w:r w:rsidRPr="00E5000A">
              <w:t>Alzheimer's &amp; Dementia: Translational Research, 8, 81–101</w:t>
            </w:r>
          </w:p>
        </w:tc>
        <w:tc>
          <w:tcPr>
            <w:tcW w:w="960" w:type="dxa"/>
          </w:tcPr>
          <w:p w14:paraId="65C67655" w14:textId="77777777" w:rsidR="00A106A4" w:rsidRPr="00E5000A" w:rsidRDefault="00A106A4" w:rsidP="0077408D">
            <w:r w:rsidRPr="00E5000A">
              <w:t>AD ML Transcriptomics / Novelty Context</w:t>
            </w:r>
          </w:p>
        </w:tc>
        <w:tc>
          <w:tcPr>
            <w:tcW w:w="2000" w:type="dxa"/>
          </w:tcPr>
          <w:p w14:paraId="09B68FFF" w14:textId="77777777" w:rsidR="00A106A4" w:rsidRPr="00E5000A" w:rsidRDefault="00A106A4" w:rsidP="0077408D">
            <w:r w:rsidRPr="00E5000A">
              <w:t>Most recent (Nov 2025/2026) AD multi-region transcriptomics + LASSO/RF/SVM-RFE study — most current comparator for the AD novelty arm</w:t>
            </w:r>
          </w:p>
        </w:tc>
      </w:tr>
      <w:tr w:rsidR="00A106A4" w:rsidRPr="00E5000A" w14:paraId="43F14F92" w14:textId="77777777" w:rsidTr="0077408D">
        <w:tc>
          <w:tcPr>
            <w:tcW w:w="360" w:type="dxa"/>
          </w:tcPr>
          <w:p w14:paraId="23A8998C" w14:textId="77777777" w:rsidR="00A106A4" w:rsidRPr="00E5000A" w:rsidRDefault="00A106A4" w:rsidP="0077408D">
            <w:r w:rsidRPr="00E5000A">
              <w:t>22</w:t>
            </w:r>
          </w:p>
        </w:tc>
        <w:tc>
          <w:tcPr>
            <w:tcW w:w="560" w:type="dxa"/>
          </w:tcPr>
          <w:p w14:paraId="16174D01" w14:textId="77777777" w:rsidR="00A106A4" w:rsidRPr="00E5000A" w:rsidRDefault="00A106A4" w:rsidP="0077408D">
            <w:r w:rsidRPr="00E5000A">
              <w:t>2025</w:t>
            </w:r>
          </w:p>
        </w:tc>
        <w:tc>
          <w:tcPr>
            <w:tcW w:w="1800" w:type="dxa"/>
          </w:tcPr>
          <w:p w14:paraId="16F1DB3C" w14:textId="77777777" w:rsidR="00A106A4" w:rsidRPr="00E5000A" w:rsidRDefault="00A106A4" w:rsidP="0077408D">
            <w:r w:rsidRPr="00E5000A">
              <w:t>Chen, X.; et al.</w:t>
            </w:r>
          </w:p>
        </w:tc>
        <w:tc>
          <w:tcPr>
            <w:tcW w:w="3000" w:type="dxa"/>
          </w:tcPr>
          <w:p w14:paraId="5774454B" w14:textId="77777777" w:rsidR="00A106A4" w:rsidRPr="00E5000A" w:rsidRDefault="00A106A4" w:rsidP="0077408D">
            <w:r w:rsidRPr="00E5000A">
              <w:t>Ferroptosis and Iron Homeostasis: Molecular Mechanisms and Neurodegenerative Disease Implications</w:t>
            </w:r>
          </w:p>
        </w:tc>
        <w:tc>
          <w:tcPr>
            <w:tcW w:w="1400" w:type="dxa"/>
          </w:tcPr>
          <w:p w14:paraId="22932670" w14:textId="77777777" w:rsidR="00A106A4" w:rsidRPr="00E5000A" w:rsidRDefault="00A106A4" w:rsidP="0077408D">
            <w:r w:rsidRPr="00E5000A">
              <w:t>International Journal of Molecular Sciences (PMC review, 2025)</w:t>
            </w:r>
          </w:p>
        </w:tc>
        <w:tc>
          <w:tcPr>
            <w:tcW w:w="960" w:type="dxa"/>
          </w:tcPr>
          <w:p w14:paraId="02366883" w14:textId="77777777" w:rsidR="00A106A4" w:rsidRPr="00E5000A" w:rsidRDefault="00A106A4" w:rsidP="0077408D">
            <w:r w:rsidRPr="00E5000A">
              <w:t>FTH1 / Ferroptosis / Cross-disease context</w:t>
            </w:r>
          </w:p>
        </w:tc>
        <w:tc>
          <w:tcPr>
            <w:tcW w:w="2000" w:type="dxa"/>
          </w:tcPr>
          <w:p w14:paraId="7C542A8D" w14:textId="77777777" w:rsidR="00A106A4" w:rsidRPr="00E5000A" w:rsidRDefault="00A106A4" w:rsidP="0077408D">
            <w:r w:rsidRPr="00E5000A">
              <w:t>2025 cross-disease review linking FTH1/ferroptosis to HD, AD, and PD — supporting both the FTH1 confirmation and shared HD–AD targets</w:t>
            </w:r>
          </w:p>
        </w:tc>
      </w:tr>
    </w:tbl>
    <w:p w14:paraId="51991AB6" w14:textId="10E951A8" w:rsidR="008D713F" w:rsidRDefault="00A106A4" w:rsidP="00A106A4">
      <w:r w:rsidRPr="00E5000A">
        <w:br w:type="page"/>
      </w:r>
    </w:p>
    <w:p w14:paraId="79A2A848" w14:textId="77777777" w:rsidR="008D713F" w:rsidRDefault="00000000">
      <w:pPr>
        <w:spacing w:before="300" w:after="120"/>
      </w:pPr>
      <w:r>
        <w:rPr>
          <w:b/>
          <w:bCs/>
          <w:sz w:val="32"/>
          <w:szCs w:val="32"/>
        </w:rPr>
        <w:lastRenderedPageBreak/>
        <w:t>3.</w:t>
      </w:r>
      <w:r>
        <w:rPr>
          <w:b/>
          <w:bCs/>
          <w:sz w:val="32"/>
          <w:szCs w:val="32"/>
        </w:rPr>
        <w:tab/>
        <w:t>Dataset and Database Specific Tools Used</w:t>
      </w:r>
    </w:p>
    <w:p w14:paraId="701EDA99" w14:textId="77777777" w:rsidR="008D713F" w:rsidRDefault="00000000">
      <w:pPr>
        <w:spacing w:before="120" w:after="60"/>
      </w:pPr>
      <w:r>
        <w:rPr>
          <w:b/>
          <w:bCs/>
        </w:rPr>
        <w:t>Primary Dataset — GSE64810 (Huntington’s Disease):</w:t>
      </w:r>
    </w:p>
    <w:p w14:paraId="6AB516F1" w14:textId="77777777" w:rsidR="008D713F" w:rsidRDefault="00000000">
      <w:pPr>
        <w:pStyle w:val="ListParagraph"/>
        <w:numPr>
          <w:ilvl w:val="0"/>
          <w:numId w:val="2"/>
        </w:numPr>
        <w:spacing w:before="40" w:after="40"/>
      </w:pPr>
      <w:r>
        <w:t xml:space="preserve">Source: NCBI Gene Expression Omnibus (GEO), </w:t>
      </w:r>
      <w:proofErr w:type="spellStart"/>
      <w:r>
        <w:t>BioProject</w:t>
      </w:r>
      <w:proofErr w:type="spellEnd"/>
      <w:r>
        <w:t xml:space="preserve"> PRJNA271929</w:t>
      </w:r>
    </w:p>
    <w:p w14:paraId="403E0307" w14:textId="77777777" w:rsidR="008D713F" w:rsidRDefault="00000000">
      <w:pPr>
        <w:pStyle w:val="ListParagraph"/>
        <w:numPr>
          <w:ilvl w:val="0"/>
          <w:numId w:val="2"/>
        </w:numPr>
        <w:spacing w:before="40" w:after="40"/>
      </w:pPr>
      <w:r>
        <w:t>Tissue: Post-mortem human prefrontal cortex (Brodmann Area 9)</w:t>
      </w:r>
    </w:p>
    <w:p w14:paraId="2606F777" w14:textId="77777777" w:rsidR="008D713F" w:rsidRDefault="00000000">
      <w:pPr>
        <w:pStyle w:val="ListParagraph"/>
        <w:numPr>
          <w:ilvl w:val="0"/>
          <w:numId w:val="2"/>
        </w:numPr>
        <w:spacing w:before="40" w:after="40"/>
      </w:pPr>
      <w:r>
        <w:t>Samples: 20 HD gene-positive cases and 49 neurologically normal controls (pre-PSM); n=40 post-PSM (1:1 ratio)</w:t>
      </w:r>
    </w:p>
    <w:p w14:paraId="7450547D" w14:textId="77777777" w:rsidR="008D713F" w:rsidRDefault="00000000">
      <w:pPr>
        <w:pStyle w:val="ListParagraph"/>
        <w:numPr>
          <w:ilvl w:val="0"/>
          <w:numId w:val="2"/>
        </w:numPr>
        <w:spacing w:before="40" w:after="40"/>
      </w:pPr>
      <w:r>
        <w:t xml:space="preserve">Technology: Illumina </w:t>
      </w:r>
      <w:proofErr w:type="spellStart"/>
      <w:r>
        <w:t>HiSeq</w:t>
      </w:r>
      <w:proofErr w:type="spellEnd"/>
      <w:r>
        <w:t>, paired-end RNA-Seq, bulk tissue sequencing</w:t>
      </w:r>
    </w:p>
    <w:p w14:paraId="48C62B75" w14:textId="77777777" w:rsidR="008D713F" w:rsidRDefault="00000000">
      <w:pPr>
        <w:pStyle w:val="ListParagraph"/>
        <w:numPr>
          <w:ilvl w:val="0"/>
          <w:numId w:val="2"/>
        </w:numPr>
        <w:spacing w:before="40" w:after="40"/>
      </w:pPr>
      <w:r>
        <w:t>Annotation: ENSEMBL GRCh38 release 108, gene-level count matrix</w:t>
      </w:r>
    </w:p>
    <w:p w14:paraId="757DFE7E" w14:textId="77777777" w:rsidR="008D713F" w:rsidRDefault="00000000">
      <w:pPr>
        <w:pStyle w:val="ListParagraph"/>
        <w:numPr>
          <w:ilvl w:val="0"/>
          <w:numId w:val="2"/>
        </w:numPr>
        <w:spacing w:before="40" w:after="40"/>
      </w:pPr>
      <w:r>
        <w:t xml:space="preserve">Key Metadata: Age at death, HD diagnosis status, CAG repeat length, </w:t>
      </w:r>
      <w:proofErr w:type="spellStart"/>
      <w:r>
        <w:t>Vonsattel</w:t>
      </w:r>
      <w:proofErr w:type="spellEnd"/>
      <w:r>
        <w:t xml:space="preserve"> grade, post-mortem interval</w:t>
      </w:r>
    </w:p>
    <w:p w14:paraId="0B2F4519" w14:textId="77777777" w:rsidR="00921DF8" w:rsidRPr="00921DF8" w:rsidRDefault="00921DF8" w:rsidP="00921DF8">
      <w:pPr>
        <w:spacing w:before="120" w:after="60"/>
        <w:rPr>
          <w:b/>
          <w:bCs/>
        </w:rPr>
      </w:pPr>
      <w:r w:rsidRPr="00921DF8">
        <w:rPr>
          <w:b/>
          <w:bCs/>
        </w:rPr>
        <w:t>Extension Dataset — GSE132903 (Alzheimer’s Disease):</w:t>
      </w:r>
    </w:p>
    <w:p w14:paraId="2F7A9026" w14:textId="77777777" w:rsidR="00921DF8" w:rsidRPr="00921DF8" w:rsidRDefault="00921DF8" w:rsidP="00921DF8">
      <w:pPr>
        <w:numPr>
          <w:ilvl w:val="0"/>
          <w:numId w:val="3"/>
        </w:numPr>
        <w:spacing w:before="120" w:after="60"/>
      </w:pPr>
      <w:r w:rsidRPr="00921DF8">
        <w:t>Source: NCBI Gene Expression Omnibus (GEO)</w:t>
      </w:r>
    </w:p>
    <w:p w14:paraId="0BF8C0E6" w14:textId="77777777" w:rsidR="00921DF8" w:rsidRPr="00921DF8" w:rsidRDefault="00921DF8" w:rsidP="00921DF8">
      <w:pPr>
        <w:numPr>
          <w:ilvl w:val="0"/>
          <w:numId w:val="3"/>
        </w:numPr>
        <w:spacing w:before="120" w:after="60"/>
      </w:pPr>
      <w:r w:rsidRPr="00921DF8">
        <w:t>Tissue: Post-mortem middle temporal gyrus (Brodmann Area 21)</w:t>
      </w:r>
    </w:p>
    <w:p w14:paraId="610CE8C8" w14:textId="77777777" w:rsidR="00921DF8" w:rsidRPr="00921DF8" w:rsidRDefault="00921DF8" w:rsidP="00921DF8">
      <w:pPr>
        <w:numPr>
          <w:ilvl w:val="0"/>
          <w:numId w:val="3"/>
        </w:numPr>
        <w:spacing w:before="120" w:after="60"/>
      </w:pPr>
      <w:r w:rsidRPr="00921DF8">
        <w:t>Samples: 97 AD cases and 98 non-demented controls (n=195)</w:t>
      </w:r>
    </w:p>
    <w:p w14:paraId="474B2775" w14:textId="77777777" w:rsidR="00921DF8" w:rsidRPr="00921DF8" w:rsidRDefault="00921DF8" w:rsidP="00921DF8">
      <w:pPr>
        <w:numPr>
          <w:ilvl w:val="0"/>
          <w:numId w:val="3"/>
        </w:numPr>
        <w:spacing w:before="120" w:after="60"/>
      </w:pPr>
      <w:r w:rsidRPr="00921DF8">
        <w:t>Technology: Illumina HumanHT-12 V4.0 microarray (expression profiling by array, GPL10558)</w:t>
      </w:r>
    </w:p>
    <w:p w14:paraId="29359570" w14:textId="77777777" w:rsidR="00921DF8" w:rsidRPr="00921DF8" w:rsidRDefault="00921DF8" w:rsidP="00921DF8">
      <w:pPr>
        <w:numPr>
          <w:ilvl w:val="0"/>
          <w:numId w:val="3"/>
        </w:numPr>
        <w:spacing w:before="120" w:after="60"/>
      </w:pPr>
      <w:r w:rsidRPr="00921DF8">
        <w:t>Annotation: Probe-to-gene mapping via GPL10558 annotation</w:t>
      </w:r>
    </w:p>
    <w:p w14:paraId="07B2ACAD" w14:textId="77777777" w:rsidR="00921DF8" w:rsidRPr="00921DF8" w:rsidRDefault="00921DF8" w:rsidP="00921DF8">
      <w:pPr>
        <w:numPr>
          <w:ilvl w:val="0"/>
          <w:numId w:val="3"/>
        </w:numPr>
        <w:spacing w:before="120" w:after="60"/>
      </w:pPr>
      <w:r w:rsidRPr="00921DF8">
        <w:t>Key Metadata: AD diagnosis, Braak stage, MMSE score, age at death</w:t>
      </w:r>
    </w:p>
    <w:p w14:paraId="7440DAB9" w14:textId="77777777" w:rsidR="008D713F" w:rsidRDefault="00000000">
      <w:pPr>
        <w:spacing w:before="120" w:after="60"/>
      </w:pPr>
      <w:r>
        <w:rPr>
          <w:b/>
          <w:bCs/>
        </w:rPr>
        <w:t>Databases:</w:t>
      </w:r>
    </w:p>
    <w:p w14:paraId="7713E5A3" w14:textId="77777777" w:rsidR="008D713F" w:rsidRDefault="00000000">
      <w:pPr>
        <w:pStyle w:val="ListParagraph"/>
        <w:numPr>
          <w:ilvl w:val="0"/>
          <w:numId w:val="2"/>
        </w:numPr>
        <w:spacing w:before="40" w:after="40"/>
      </w:pPr>
      <w:r>
        <w:t>NCBI GEO (https://www.ncbi.nlm.nih.gov/geo/): Primary RNA-Seq count data repository</w:t>
      </w:r>
    </w:p>
    <w:p w14:paraId="515D96C6" w14:textId="77777777" w:rsidR="008D713F" w:rsidRDefault="00000000">
      <w:pPr>
        <w:pStyle w:val="ListParagraph"/>
        <w:numPr>
          <w:ilvl w:val="0"/>
          <w:numId w:val="2"/>
        </w:numPr>
        <w:spacing w:before="40" w:after="40"/>
      </w:pPr>
      <w:r>
        <w:t>ENSEMBL GRCh38 (release 108): Human reference genome and gene annotation</w:t>
      </w:r>
    </w:p>
    <w:p w14:paraId="0E6E0DD0" w14:textId="77777777" w:rsidR="008D713F" w:rsidRDefault="00000000">
      <w:pPr>
        <w:pStyle w:val="ListParagraph"/>
        <w:numPr>
          <w:ilvl w:val="0"/>
          <w:numId w:val="2"/>
        </w:numPr>
        <w:spacing w:before="40" w:after="40"/>
      </w:pPr>
      <w:r>
        <w:t xml:space="preserve">Gene Ontology (GO) Biological Process 2023 (via </w:t>
      </w:r>
      <w:proofErr w:type="spellStart"/>
      <w:r>
        <w:t>Enrichr</w:t>
      </w:r>
      <w:proofErr w:type="spellEnd"/>
      <w:r>
        <w:t>): Functional pathway enrichment</w:t>
      </w:r>
    </w:p>
    <w:p w14:paraId="2F149CE9" w14:textId="77777777" w:rsidR="008D713F" w:rsidRDefault="00000000">
      <w:pPr>
        <w:pStyle w:val="ListParagraph"/>
        <w:numPr>
          <w:ilvl w:val="0"/>
          <w:numId w:val="2"/>
        </w:numPr>
        <w:spacing w:before="40" w:after="40"/>
      </w:pPr>
      <w:r>
        <w:t xml:space="preserve">Open Targets / </w:t>
      </w:r>
      <w:proofErr w:type="spellStart"/>
      <w:r>
        <w:t>ChEMBL</w:t>
      </w:r>
      <w:proofErr w:type="spellEnd"/>
      <w:r>
        <w:t xml:space="preserve">: </w:t>
      </w:r>
      <w:proofErr w:type="spellStart"/>
      <w:r>
        <w:t>Druggability</w:t>
      </w:r>
      <w:proofErr w:type="spellEnd"/>
      <w:r>
        <w:t xml:space="preserve"> annotation of identified target genes</w:t>
      </w:r>
    </w:p>
    <w:p w14:paraId="44D460E6" w14:textId="77777777" w:rsidR="008D713F" w:rsidRDefault="00000000">
      <w:pPr>
        <w:spacing w:before="120" w:after="60"/>
      </w:pPr>
      <w:r>
        <w:rPr>
          <w:b/>
          <w:bCs/>
        </w:rPr>
        <w:t>Software Tools and Libraries:</w:t>
      </w:r>
    </w:p>
    <w:tbl>
      <w:tblPr>
        <w:tblStyle w:val="PlainTable2"/>
        <w:tblW w:w="9360" w:type="dxa"/>
        <w:tblLook w:val="0000" w:firstRow="0" w:lastRow="0" w:firstColumn="0" w:lastColumn="0" w:noHBand="0" w:noVBand="0"/>
      </w:tblPr>
      <w:tblGrid>
        <w:gridCol w:w="2200"/>
        <w:gridCol w:w="2000"/>
        <w:gridCol w:w="5160"/>
      </w:tblGrid>
      <w:tr w:rsidR="008D713F" w14:paraId="55D70B2E" w14:textId="77777777" w:rsidTr="00CD0A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2296319F" w14:textId="77777777" w:rsidR="008D713F" w:rsidRPr="00CD0A8B" w:rsidRDefault="00000000">
            <w:pPr>
              <w:jc w:val="center"/>
              <w:rPr>
                <w:color w:val="000000" w:themeColor="text1"/>
              </w:rPr>
            </w:pPr>
            <w:r w:rsidRPr="00CD0A8B">
              <w:rPr>
                <w:b/>
                <w:bCs/>
                <w:color w:val="000000" w:themeColor="text1"/>
                <w:sz w:val="22"/>
                <w:szCs w:val="22"/>
              </w:rPr>
              <w:t>Tool / Library</w:t>
            </w:r>
          </w:p>
        </w:tc>
        <w:tc>
          <w:tcPr>
            <w:cnfStyle w:val="000001000000" w:firstRow="0" w:lastRow="0" w:firstColumn="0" w:lastColumn="0" w:oddVBand="0" w:evenVBand="1" w:oddHBand="0" w:evenHBand="0" w:firstRowFirstColumn="0" w:firstRowLastColumn="0" w:lastRowFirstColumn="0" w:lastRowLastColumn="0"/>
            <w:tcW w:w="2000" w:type="dxa"/>
          </w:tcPr>
          <w:p w14:paraId="76FA60F9" w14:textId="77777777" w:rsidR="008D713F" w:rsidRPr="00CD0A8B" w:rsidRDefault="00000000">
            <w:pPr>
              <w:jc w:val="center"/>
              <w:rPr>
                <w:color w:val="000000" w:themeColor="text1"/>
              </w:rPr>
            </w:pPr>
            <w:r w:rsidRPr="00CD0A8B">
              <w:rPr>
                <w:b/>
                <w:bCs/>
                <w:color w:val="000000" w:themeColor="text1"/>
                <w:sz w:val="22"/>
                <w:szCs w:val="22"/>
              </w:rPr>
              <w:t>Version</w:t>
            </w:r>
          </w:p>
        </w:tc>
        <w:tc>
          <w:tcPr>
            <w:cnfStyle w:val="000010000000" w:firstRow="0" w:lastRow="0" w:firstColumn="0" w:lastColumn="0" w:oddVBand="1" w:evenVBand="0" w:oddHBand="0" w:evenHBand="0" w:firstRowFirstColumn="0" w:firstRowLastColumn="0" w:lastRowFirstColumn="0" w:lastRowLastColumn="0"/>
            <w:tcW w:w="5160" w:type="dxa"/>
          </w:tcPr>
          <w:p w14:paraId="7E6723D8" w14:textId="77777777" w:rsidR="008D713F" w:rsidRPr="00CD0A8B" w:rsidRDefault="00000000">
            <w:pPr>
              <w:jc w:val="center"/>
              <w:rPr>
                <w:color w:val="000000" w:themeColor="text1"/>
              </w:rPr>
            </w:pPr>
            <w:r w:rsidRPr="00CD0A8B">
              <w:rPr>
                <w:b/>
                <w:bCs/>
                <w:color w:val="000000" w:themeColor="text1"/>
                <w:sz w:val="22"/>
                <w:szCs w:val="22"/>
              </w:rPr>
              <w:t>Purpose</w:t>
            </w:r>
          </w:p>
        </w:tc>
      </w:tr>
      <w:tr w:rsidR="008D713F" w14:paraId="4D7BBCAA" w14:textId="77777777" w:rsidTr="00CD0A8B">
        <w:tc>
          <w:tcPr>
            <w:cnfStyle w:val="000010000000" w:firstRow="0" w:lastRow="0" w:firstColumn="0" w:lastColumn="0" w:oddVBand="1" w:evenVBand="0" w:oddHBand="0" w:evenHBand="0" w:firstRowFirstColumn="0" w:firstRowLastColumn="0" w:lastRowFirstColumn="0" w:lastRowLastColumn="0"/>
            <w:tcW w:w="2200" w:type="dxa"/>
          </w:tcPr>
          <w:p w14:paraId="35D4CB56" w14:textId="77777777" w:rsidR="008D713F" w:rsidRDefault="00000000">
            <w:r>
              <w:rPr>
                <w:sz w:val="22"/>
                <w:szCs w:val="22"/>
              </w:rPr>
              <w:t>Python</w:t>
            </w:r>
          </w:p>
        </w:tc>
        <w:tc>
          <w:tcPr>
            <w:cnfStyle w:val="000001000000" w:firstRow="0" w:lastRow="0" w:firstColumn="0" w:lastColumn="0" w:oddVBand="0" w:evenVBand="1" w:oddHBand="0" w:evenHBand="0" w:firstRowFirstColumn="0" w:firstRowLastColumn="0" w:lastRowFirstColumn="0" w:lastRowLastColumn="0"/>
            <w:tcW w:w="2000" w:type="dxa"/>
          </w:tcPr>
          <w:p w14:paraId="3F898419" w14:textId="77777777" w:rsidR="008D713F" w:rsidRDefault="00000000">
            <w:r>
              <w:rPr>
                <w:sz w:val="22"/>
                <w:szCs w:val="22"/>
              </w:rPr>
              <w:t>3.10</w:t>
            </w:r>
          </w:p>
        </w:tc>
        <w:tc>
          <w:tcPr>
            <w:cnfStyle w:val="000010000000" w:firstRow="0" w:lastRow="0" w:firstColumn="0" w:lastColumn="0" w:oddVBand="1" w:evenVBand="0" w:oddHBand="0" w:evenHBand="0" w:firstRowFirstColumn="0" w:firstRowLastColumn="0" w:lastRowFirstColumn="0" w:lastRowLastColumn="0"/>
            <w:tcW w:w="5160" w:type="dxa"/>
          </w:tcPr>
          <w:p w14:paraId="199D9577" w14:textId="77777777" w:rsidR="008D713F" w:rsidRDefault="00000000">
            <w:r>
              <w:rPr>
                <w:sz w:val="22"/>
                <w:szCs w:val="22"/>
              </w:rPr>
              <w:t>Primary programming environment</w:t>
            </w:r>
          </w:p>
        </w:tc>
      </w:tr>
      <w:tr w:rsidR="008D713F" w14:paraId="39A686D3" w14:textId="77777777" w:rsidTr="00CD0A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1F0195B5" w14:textId="77777777" w:rsidR="008D713F" w:rsidRDefault="00000000">
            <w:proofErr w:type="spellStart"/>
            <w:r>
              <w:rPr>
                <w:sz w:val="22"/>
                <w:szCs w:val="22"/>
              </w:rPr>
              <w:t>GEOparse</w:t>
            </w:r>
            <w:proofErr w:type="spellEnd"/>
          </w:p>
        </w:tc>
        <w:tc>
          <w:tcPr>
            <w:cnfStyle w:val="000001000000" w:firstRow="0" w:lastRow="0" w:firstColumn="0" w:lastColumn="0" w:oddVBand="0" w:evenVBand="1" w:oddHBand="0" w:evenHBand="0" w:firstRowFirstColumn="0" w:firstRowLastColumn="0" w:lastRowFirstColumn="0" w:lastRowLastColumn="0"/>
            <w:tcW w:w="2000" w:type="dxa"/>
          </w:tcPr>
          <w:p w14:paraId="1AD91354" w14:textId="77777777" w:rsidR="008D713F" w:rsidRDefault="00000000">
            <w:r>
              <w:rPr>
                <w:sz w:val="22"/>
                <w:szCs w:val="22"/>
              </w:rPr>
              <w:t>2.0.3</w:t>
            </w:r>
          </w:p>
        </w:tc>
        <w:tc>
          <w:tcPr>
            <w:cnfStyle w:val="000010000000" w:firstRow="0" w:lastRow="0" w:firstColumn="0" w:lastColumn="0" w:oddVBand="1" w:evenVBand="0" w:oddHBand="0" w:evenHBand="0" w:firstRowFirstColumn="0" w:firstRowLastColumn="0" w:lastRowFirstColumn="0" w:lastRowLastColumn="0"/>
            <w:tcW w:w="5160" w:type="dxa"/>
          </w:tcPr>
          <w:p w14:paraId="14C73770" w14:textId="77777777" w:rsidR="008D713F" w:rsidRDefault="00000000">
            <w:r>
              <w:rPr>
                <w:sz w:val="22"/>
                <w:szCs w:val="22"/>
              </w:rPr>
              <w:t>Download and parse GEO datasets</w:t>
            </w:r>
          </w:p>
        </w:tc>
      </w:tr>
      <w:tr w:rsidR="008D713F" w14:paraId="7EBD521A" w14:textId="77777777" w:rsidTr="00CD0A8B">
        <w:tc>
          <w:tcPr>
            <w:cnfStyle w:val="000010000000" w:firstRow="0" w:lastRow="0" w:firstColumn="0" w:lastColumn="0" w:oddVBand="1" w:evenVBand="0" w:oddHBand="0" w:evenHBand="0" w:firstRowFirstColumn="0" w:firstRowLastColumn="0" w:lastRowFirstColumn="0" w:lastRowLastColumn="0"/>
            <w:tcW w:w="2200" w:type="dxa"/>
          </w:tcPr>
          <w:p w14:paraId="448F1CE7" w14:textId="77777777" w:rsidR="008D713F" w:rsidRDefault="00000000">
            <w:r>
              <w:rPr>
                <w:sz w:val="22"/>
                <w:szCs w:val="22"/>
              </w:rPr>
              <w:t xml:space="preserve">pandas / </w:t>
            </w:r>
            <w:proofErr w:type="spellStart"/>
            <w:r>
              <w:rPr>
                <w:sz w:val="22"/>
                <w:szCs w:val="22"/>
              </w:rPr>
              <w:t>numpy</w:t>
            </w:r>
            <w:proofErr w:type="spellEnd"/>
          </w:p>
        </w:tc>
        <w:tc>
          <w:tcPr>
            <w:cnfStyle w:val="000001000000" w:firstRow="0" w:lastRow="0" w:firstColumn="0" w:lastColumn="0" w:oddVBand="0" w:evenVBand="1" w:oddHBand="0" w:evenHBand="0" w:firstRowFirstColumn="0" w:firstRowLastColumn="0" w:lastRowFirstColumn="0" w:lastRowLastColumn="0"/>
            <w:tcW w:w="2000" w:type="dxa"/>
          </w:tcPr>
          <w:p w14:paraId="41549200" w14:textId="77777777" w:rsidR="008D713F" w:rsidRDefault="00000000">
            <w:r>
              <w:rPr>
                <w:sz w:val="22"/>
                <w:szCs w:val="22"/>
              </w:rPr>
              <w:t>2.0 / 1.26</w:t>
            </w:r>
          </w:p>
        </w:tc>
        <w:tc>
          <w:tcPr>
            <w:cnfStyle w:val="000010000000" w:firstRow="0" w:lastRow="0" w:firstColumn="0" w:lastColumn="0" w:oddVBand="1" w:evenVBand="0" w:oddHBand="0" w:evenHBand="0" w:firstRowFirstColumn="0" w:firstRowLastColumn="0" w:lastRowFirstColumn="0" w:lastRowLastColumn="0"/>
            <w:tcW w:w="5160" w:type="dxa"/>
          </w:tcPr>
          <w:p w14:paraId="6471D9CC" w14:textId="77777777" w:rsidR="008D713F" w:rsidRDefault="00000000">
            <w:r>
              <w:rPr>
                <w:sz w:val="22"/>
                <w:szCs w:val="22"/>
              </w:rPr>
              <w:t>Data manipulation and preprocessing</w:t>
            </w:r>
          </w:p>
        </w:tc>
      </w:tr>
      <w:tr w:rsidR="008D713F" w14:paraId="79FF2B79" w14:textId="77777777" w:rsidTr="00CD0A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4003BE55" w14:textId="77777777" w:rsidR="008D713F" w:rsidRDefault="00000000">
            <w:r>
              <w:rPr>
                <w:sz w:val="22"/>
                <w:szCs w:val="22"/>
              </w:rPr>
              <w:t>PyDESeq2</w:t>
            </w:r>
          </w:p>
        </w:tc>
        <w:tc>
          <w:tcPr>
            <w:cnfStyle w:val="000001000000" w:firstRow="0" w:lastRow="0" w:firstColumn="0" w:lastColumn="0" w:oddVBand="0" w:evenVBand="1" w:oddHBand="0" w:evenHBand="0" w:firstRowFirstColumn="0" w:firstRowLastColumn="0" w:lastRowFirstColumn="0" w:lastRowLastColumn="0"/>
            <w:tcW w:w="2000" w:type="dxa"/>
          </w:tcPr>
          <w:p w14:paraId="6AA9ABB4" w14:textId="77777777" w:rsidR="008D713F" w:rsidRDefault="00000000">
            <w:r>
              <w:rPr>
                <w:sz w:val="22"/>
                <w:szCs w:val="22"/>
              </w:rPr>
              <w:t>0.4.x</w:t>
            </w:r>
          </w:p>
        </w:tc>
        <w:tc>
          <w:tcPr>
            <w:cnfStyle w:val="000010000000" w:firstRow="0" w:lastRow="0" w:firstColumn="0" w:lastColumn="0" w:oddVBand="1" w:evenVBand="0" w:oddHBand="0" w:evenHBand="0" w:firstRowFirstColumn="0" w:firstRowLastColumn="0" w:lastRowFirstColumn="0" w:lastRowLastColumn="0"/>
            <w:tcW w:w="5160" w:type="dxa"/>
          </w:tcPr>
          <w:p w14:paraId="0A2CF6A7" w14:textId="77777777" w:rsidR="008D713F" w:rsidRDefault="00000000">
            <w:r>
              <w:rPr>
                <w:sz w:val="22"/>
                <w:szCs w:val="22"/>
              </w:rPr>
              <w:t>DESeq2 differential expression analysis in Python</w:t>
            </w:r>
          </w:p>
        </w:tc>
      </w:tr>
      <w:tr w:rsidR="008D713F" w14:paraId="1986F51C" w14:textId="77777777" w:rsidTr="00CD0A8B">
        <w:tc>
          <w:tcPr>
            <w:cnfStyle w:val="000010000000" w:firstRow="0" w:lastRow="0" w:firstColumn="0" w:lastColumn="0" w:oddVBand="1" w:evenVBand="0" w:oddHBand="0" w:evenHBand="0" w:firstRowFirstColumn="0" w:firstRowLastColumn="0" w:lastRowFirstColumn="0" w:lastRowLastColumn="0"/>
            <w:tcW w:w="2200" w:type="dxa"/>
          </w:tcPr>
          <w:p w14:paraId="4D33B3BF" w14:textId="77777777" w:rsidR="008D713F" w:rsidRDefault="00000000">
            <w:r>
              <w:rPr>
                <w:sz w:val="22"/>
                <w:szCs w:val="22"/>
              </w:rPr>
              <w:t xml:space="preserve">rpy2 + </w:t>
            </w:r>
            <w:proofErr w:type="spellStart"/>
            <w:r>
              <w:rPr>
                <w:sz w:val="22"/>
                <w:szCs w:val="22"/>
              </w:rPr>
              <w:t>edgeR</w:t>
            </w:r>
            <w:proofErr w:type="spellEnd"/>
            <w:r>
              <w:rPr>
                <w:sz w:val="22"/>
                <w:szCs w:val="22"/>
              </w:rPr>
              <w:t xml:space="preserve"> (R)</w:t>
            </w:r>
          </w:p>
        </w:tc>
        <w:tc>
          <w:tcPr>
            <w:cnfStyle w:val="000001000000" w:firstRow="0" w:lastRow="0" w:firstColumn="0" w:lastColumn="0" w:oddVBand="0" w:evenVBand="1" w:oddHBand="0" w:evenHBand="0" w:firstRowFirstColumn="0" w:firstRowLastColumn="0" w:lastRowFirstColumn="0" w:lastRowLastColumn="0"/>
            <w:tcW w:w="2000" w:type="dxa"/>
          </w:tcPr>
          <w:p w14:paraId="53838AB7" w14:textId="77777777" w:rsidR="008D713F" w:rsidRDefault="00000000">
            <w:r>
              <w:rPr>
                <w:sz w:val="22"/>
                <w:szCs w:val="22"/>
              </w:rPr>
              <w:t>3.5.x + 4.2</w:t>
            </w:r>
          </w:p>
        </w:tc>
        <w:tc>
          <w:tcPr>
            <w:cnfStyle w:val="000010000000" w:firstRow="0" w:lastRow="0" w:firstColumn="0" w:lastColumn="0" w:oddVBand="1" w:evenVBand="0" w:oddHBand="0" w:evenHBand="0" w:firstRowFirstColumn="0" w:firstRowLastColumn="0" w:lastRowFirstColumn="0" w:lastRowLastColumn="0"/>
            <w:tcW w:w="5160" w:type="dxa"/>
          </w:tcPr>
          <w:p w14:paraId="786D70A2" w14:textId="77777777" w:rsidR="008D713F" w:rsidRDefault="00000000">
            <w:proofErr w:type="spellStart"/>
            <w:r>
              <w:rPr>
                <w:sz w:val="22"/>
                <w:szCs w:val="22"/>
              </w:rPr>
              <w:t>edgeR</w:t>
            </w:r>
            <w:proofErr w:type="spellEnd"/>
            <w:r>
              <w:rPr>
                <w:sz w:val="22"/>
                <w:szCs w:val="22"/>
              </w:rPr>
              <w:t xml:space="preserve"> GLM quasi-likelihood F-test</w:t>
            </w:r>
          </w:p>
        </w:tc>
      </w:tr>
      <w:tr w:rsidR="008D713F" w14:paraId="54A113CF" w14:textId="77777777" w:rsidTr="00CD0A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6975E931" w14:textId="77777777" w:rsidR="008D713F" w:rsidRDefault="00000000">
            <w:r>
              <w:rPr>
                <w:sz w:val="22"/>
                <w:szCs w:val="22"/>
              </w:rPr>
              <w:t xml:space="preserve">rpy2 + </w:t>
            </w:r>
            <w:proofErr w:type="spellStart"/>
            <w:r>
              <w:rPr>
                <w:sz w:val="22"/>
                <w:szCs w:val="22"/>
              </w:rPr>
              <w:t>limma</w:t>
            </w:r>
            <w:proofErr w:type="spellEnd"/>
            <w:r>
              <w:rPr>
                <w:sz w:val="22"/>
                <w:szCs w:val="22"/>
              </w:rPr>
              <w:t xml:space="preserve"> (R)</w:t>
            </w:r>
          </w:p>
        </w:tc>
        <w:tc>
          <w:tcPr>
            <w:cnfStyle w:val="000001000000" w:firstRow="0" w:lastRow="0" w:firstColumn="0" w:lastColumn="0" w:oddVBand="0" w:evenVBand="1" w:oddHBand="0" w:evenHBand="0" w:firstRowFirstColumn="0" w:firstRowLastColumn="0" w:lastRowFirstColumn="0" w:lastRowLastColumn="0"/>
            <w:tcW w:w="2000" w:type="dxa"/>
          </w:tcPr>
          <w:p w14:paraId="6B7FFB94" w14:textId="77777777" w:rsidR="008D713F" w:rsidRDefault="00000000">
            <w:r>
              <w:rPr>
                <w:sz w:val="22"/>
                <w:szCs w:val="22"/>
              </w:rPr>
              <w:t>3.5.x + 3.56</w:t>
            </w:r>
          </w:p>
        </w:tc>
        <w:tc>
          <w:tcPr>
            <w:cnfStyle w:val="000010000000" w:firstRow="0" w:lastRow="0" w:firstColumn="0" w:lastColumn="0" w:oddVBand="1" w:evenVBand="0" w:oddHBand="0" w:evenHBand="0" w:firstRowFirstColumn="0" w:firstRowLastColumn="0" w:lastRowFirstColumn="0" w:lastRowLastColumn="0"/>
            <w:tcW w:w="5160" w:type="dxa"/>
          </w:tcPr>
          <w:p w14:paraId="27E3437E" w14:textId="77777777" w:rsidR="008D713F" w:rsidRDefault="00000000">
            <w:proofErr w:type="spellStart"/>
            <w:r>
              <w:rPr>
                <w:sz w:val="22"/>
                <w:szCs w:val="22"/>
              </w:rPr>
              <w:t>limma-voom</w:t>
            </w:r>
            <w:proofErr w:type="spellEnd"/>
            <w:r>
              <w:rPr>
                <w:sz w:val="22"/>
                <w:szCs w:val="22"/>
              </w:rPr>
              <w:t xml:space="preserve"> differential expression analysis</w:t>
            </w:r>
          </w:p>
        </w:tc>
      </w:tr>
      <w:tr w:rsidR="008D713F" w14:paraId="4A7F21C7" w14:textId="77777777" w:rsidTr="00CD0A8B">
        <w:tc>
          <w:tcPr>
            <w:cnfStyle w:val="000010000000" w:firstRow="0" w:lastRow="0" w:firstColumn="0" w:lastColumn="0" w:oddVBand="1" w:evenVBand="0" w:oddHBand="0" w:evenHBand="0" w:firstRowFirstColumn="0" w:firstRowLastColumn="0" w:lastRowFirstColumn="0" w:lastRowLastColumn="0"/>
            <w:tcW w:w="2200" w:type="dxa"/>
          </w:tcPr>
          <w:p w14:paraId="4281E0A3" w14:textId="77777777" w:rsidR="008D713F" w:rsidRDefault="00000000">
            <w:proofErr w:type="spellStart"/>
            <w:r>
              <w:rPr>
                <w:sz w:val="22"/>
                <w:szCs w:val="22"/>
              </w:rPr>
              <w:t>scanpy</w:t>
            </w:r>
            <w:proofErr w:type="spellEnd"/>
            <w:r>
              <w:rPr>
                <w:sz w:val="22"/>
                <w:szCs w:val="22"/>
              </w:rPr>
              <w:t xml:space="preserve"> + </w:t>
            </w:r>
            <w:proofErr w:type="spellStart"/>
            <w:r>
              <w:rPr>
                <w:sz w:val="22"/>
                <w:szCs w:val="22"/>
              </w:rPr>
              <w:t>umap</w:t>
            </w:r>
            <w:proofErr w:type="spellEnd"/>
            <w:r>
              <w:rPr>
                <w:sz w:val="22"/>
                <w:szCs w:val="22"/>
              </w:rPr>
              <w:t>-learn</w:t>
            </w:r>
          </w:p>
        </w:tc>
        <w:tc>
          <w:tcPr>
            <w:cnfStyle w:val="000001000000" w:firstRow="0" w:lastRow="0" w:firstColumn="0" w:lastColumn="0" w:oddVBand="0" w:evenVBand="1" w:oddHBand="0" w:evenHBand="0" w:firstRowFirstColumn="0" w:firstRowLastColumn="0" w:lastRowFirstColumn="0" w:lastRowLastColumn="0"/>
            <w:tcW w:w="2000" w:type="dxa"/>
          </w:tcPr>
          <w:p w14:paraId="0B93B166" w14:textId="77777777" w:rsidR="008D713F" w:rsidRDefault="00000000">
            <w:r>
              <w:rPr>
                <w:sz w:val="22"/>
                <w:szCs w:val="22"/>
              </w:rPr>
              <w:t>1.9 / 0.5</w:t>
            </w:r>
          </w:p>
        </w:tc>
        <w:tc>
          <w:tcPr>
            <w:cnfStyle w:val="000010000000" w:firstRow="0" w:lastRow="0" w:firstColumn="0" w:lastColumn="0" w:oddVBand="1" w:evenVBand="0" w:oddHBand="0" w:evenHBand="0" w:firstRowFirstColumn="0" w:firstRowLastColumn="0" w:lastRowFirstColumn="0" w:lastRowLastColumn="0"/>
            <w:tcW w:w="5160" w:type="dxa"/>
          </w:tcPr>
          <w:p w14:paraId="3C0943E9" w14:textId="77777777" w:rsidR="008D713F" w:rsidRDefault="00000000">
            <w:r>
              <w:rPr>
                <w:sz w:val="22"/>
                <w:szCs w:val="22"/>
              </w:rPr>
              <w:t>UMAP dimensionality reduction for outlier detection</w:t>
            </w:r>
          </w:p>
        </w:tc>
      </w:tr>
      <w:tr w:rsidR="008D713F" w14:paraId="106F4DEE" w14:textId="77777777" w:rsidTr="00CD0A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A3FAADC" w14:textId="77777777" w:rsidR="008D713F" w:rsidRDefault="00000000">
            <w:r>
              <w:rPr>
                <w:sz w:val="22"/>
                <w:szCs w:val="22"/>
              </w:rPr>
              <w:lastRenderedPageBreak/>
              <w:t>scikit-learn (DBSCAN)</w:t>
            </w:r>
          </w:p>
        </w:tc>
        <w:tc>
          <w:tcPr>
            <w:cnfStyle w:val="000001000000" w:firstRow="0" w:lastRow="0" w:firstColumn="0" w:lastColumn="0" w:oddVBand="0" w:evenVBand="1" w:oddHBand="0" w:evenHBand="0" w:firstRowFirstColumn="0" w:firstRowLastColumn="0" w:lastRowFirstColumn="0" w:lastRowLastColumn="0"/>
            <w:tcW w:w="2000" w:type="dxa"/>
          </w:tcPr>
          <w:p w14:paraId="478A6C0C" w14:textId="77777777" w:rsidR="008D713F" w:rsidRDefault="00000000">
            <w:r>
              <w:rPr>
                <w:sz w:val="22"/>
                <w:szCs w:val="22"/>
              </w:rPr>
              <w:t>1.3</w:t>
            </w:r>
          </w:p>
        </w:tc>
        <w:tc>
          <w:tcPr>
            <w:cnfStyle w:val="000010000000" w:firstRow="0" w:lastRow="0" w:firstColumn="0" w:lastColumn="0" w:oddVBand="1" w:evenVBand="0" w:oddHBand="0" w:evenHBand="0" w:firstRowFirstColumn="0" w:firstRowLastColumn="0" w:lastRowFirstColumn="0" w:lastRowLastColumn="0"/>
            <w:tcW w:w="5160" w:type="dxa"/>
          </w:tcPr>
          <w:p w14:paraId="245FF60E" w14:textId="77777777" w:rsidR="008D713F" w:rsidRDefault="00000000">
            <w:r>
              <w:rPr>
                <w:sz w:val="22"/>
                <w:szCs w:val="22"/>
              </w:rPr>
              <w:t>Density-based outlier detection clustering</w:t>
            </w:r>
          </w:p>
        </w:tc>
      </w:tr>
      <w:tr w:rsidR="008D713F" w14:paraId="17C3146E" w14:textId="77777777" w:rsidTr="00CD0A8B">
        <w:tc>
          <w:tcPr>
            <w:cnfStyle w:val="000010000000" w:firstRow="0" w:lastRow="0" w:firstColumn="0" w:lastColumn="0" w:oddVBand="1" w:evenVBand="0" w:oddHBand="0" w:evenHBand="0" w:firstRowFirstColumn="0" w:firstRowLastColumn="0" w:lastRowFirstColumn="0" w:lastRowLastColumn="0"/>
            <w:tcW w:w="2200" w:type="dxa"/>
          </w:tcPr>
          <w:p w14:paraId="190D6AF2" w14:textId="77777777" w:rsidR="008D713F" w:rsidRDefault="00000000">
            <w:proofErr w:type="spellStart"/>
            <w:r>
              <w:rPr>
                <w:sz w:val="22"/>
                <w:szCs w:val="22"/>
              </w:rPr>
              <w:t>gseapy</w:t>
            </w:r>
            <w:proofErr w:type="spellEnd"/>
          </w:p>
        </w:tc>
        <w:tc>
          <w:tcPr>
            <w:cnfStyle w:val="000001000000" w:firstRow="0" w:lastRow="0" w:firstColumn="0" w:lastColumn="0" w:oddVBand="0" w:evenVBand="1" w:oddHBand="0" w:evenHBand="0" w:firstRowFirstColumn="0" w:firstRowLastColumn="0" w:lastRowFirstColumn="0" w:lastRowLastColumn="0"/>
            <w:tcW w:w="2000" w:type="dxa"/>
          </w:tcPr>
          <w:p w14:paraId="32CC8455" w14:textId="77777777" w:rsidR="008D713F" w:rsidRDefault="00000000">
            <w:r>
              <w:rPr>
                <w:sz w:val="22"/>
                <w:szCs w:val="22"/>
              </w:rPr>
              <w:t>1.0.x</w:t>
            </w:r>
          </w:p>
        </w:tc>
        <w:tc>
          <w:tcPr>
            <w:cnfStyle w:val="000010000000" w:firstRow="0" w:lastRow="0" w:firstColumn="0" w:lastColumn="0" w:oddVBand="1" w:evenVBand="0" w:oddHBand="0" w:evenHBand="0" w:firstRowFirstColumn="0" w:firstRowLastColumn="0" w:lastRowFirstColumn="0" w:lastRowLastColumn="0"/>
            <w:tcW w:w="5160" w:type="dxa"/>
          </w:tcPr>
          <w:p w14:paraId="6AFD701E" w14:textId="77777777" w:rsidR="008D713F" w:rsidRDefault="00000000">
            <w:r>
              <w:rPr>
                <w:sz w:val="22"/>
                <w:szCs w:val="22"/>
              </w:rPr>
              <w:t>Gene Ontology ORA enrichment analysis</w:t>
            </w:r>
          </w:p>
        </w:tc>
      </w:tr>
      <w:tr w:rsidR="008D713F" w14:paraId="3A8209C4" w14:textId="77777777" w:rsidTr="00CD0A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31F3783C" w14:textId="77777777" w:rsidR="008D713F" w:rsidRDefault="00000000">
            <w:r>
              <w:rPr>
                <w:sz w:val="22"/>
                <w:szCs w:val="22"/>
              </w:rPr>
              <w:t>matplotlib / seaborn</w:t>
            </w:r>
          </w:p>
        </w:tc>
        <w:tc>
          <w:tcPr>
            <w:cnfStyle w:val="000001000000" w:firstRow="0" w:lastRow="0" w:firstColumn="0" w:lastColumn="0" w:oddVBand="0" w:evenVBand="1" w:oddHBand="0" w:evenHBand="0" w:firstRowFirstColumn="0" w:firstRowLastColumn="0" w:lastRowFirstColumn="0" w:lastRowLastColumn="0"/>
            <w:tcW w:w="2000" w:type="dxa"/>
          </w:tcPr>
          <w:p w14:paraId="64585915" w14:textId="77777777" w:rsidR="008D713F" w:rsidRDefault="00000000">
            <w:r>
              <w:rPr>
                <w:sz w:val="22"/>
                <w:szCs w:val="22"/>
              </w:rPr>
              <w:t>3.7 / 0.12</w:t>
            </w:r>
          </w:p>
        </w:tc>
        <w:tc>
          <w:tcPr>
            <w:cnfStyle w:val="000010000000" w:firstRow="0" w:lastRow="0" w:firstColumn="0" w:lastColumn="0" w:oddVBand="1" w:evenVBand="0" w:oddHBand="0" w:evenHBand="0" w:firstRowFirstColumn="0" w:firstRowLastColumn="0" w:lastRowFirstColumn="0" w:lastRowLastColumn="0"/>
            <w:tcW w:w="5160" w:type="dxa"/>
          </w:tcPr>
          <w:p w14:paraId="2C5E58D1" w14:textId="77777777" w:rsidR="008D713F" w:rsidRDefault="00000000">
            <w:r>
              <w:rPr>
                <w:sz w:val="22"/>
                <w:szCs w:val="22"/>
              </w:rPr>
              <w:t>Visualization (volcano plot, heatmap, boxplot)</w:t>
            </w:r>
          </w:p>
        </w:tc>
      </w:tr>
      <w:tr w:rsidR="008D713F" w14:paraId="7F7370AB" w14:textId="77777777" w:rsidTr="00CD0A8B">
        <w:tc>
          <w:tcPr>
            <w:cnfStyle w:val="000010000000" w:firstRow="0" w:lastRow="0" w:firstColumn="0" w:lastColumn="0" w:oddVBand="1" w:evenVBand="0" w:oddHBand="0" w:evenHBand="0" w:firstRowFirstColumn="0" w:firstRowLastColumn="0" w:lastRowFirstColumn="0" w:lastRowLastColumn="0"/>
            <w:tcW w:w="2200" w:type="dxa"/>
          </w:tcPr>
          <w:p w14:paraId="29BD74C1" w14:textId="77777777" w:rsidR="008D713F" w:rsidRDefault="00000000">
            <w:proofErr w:type="spellStart"/>
            <w:r>
              <w:rPr>
                <w:sz w:val="22"/>
                <w:szCs w:val="22"/>
              </w:rPr>
              <w:t>scipy</w:t>
            </w:r>
            <w:proofErr w:type="spellEnd"/>
            <w:r>
              <w:rPr>
                <w:sz w:val="22"/>
                <w:szCs w:val="22"/>
              </w:rPr>
              <w:t xml:space="preserve"> / </w:t>
            </w:r>
            <w:proofErr w:type="spellStart"/>
            <w:r>
              <w:rPr>
                <w:sz w:val="22"/>
                <w:szCs w:val="22"/>
              </w:rPr>
              <w:t>statsmodels</w:t>
            </w:r>
            <w:proofErr w:type="spellEnd"/>
          </w:p>
        </w:tc>
        <w:tc>
          <w:tcPr>
            <w:cnfStyle w:val="000001000000" w:firstRow="0" w:lastRow="0" w:firstColumn="0" w:lastColumn="0" w:oddVBand="0" w:evenVBand="1" w:oddHBand="0" w:evenHBand="0" w:firstRowFirstColumn="0" w:firstRowLastColumn="0" w:lastRowFirstColumn="0" w:lastRowLastColumn="0"/>
            <w:tcW w:w="2000" w:type="dxa"/>
          </w:tcPr>
          <w:p w14:paraId="6434CDB4" w14:textId="77777777" w:rsidR="008D713F" w:rsidRDefault="00000000">
            <w:r>
              <w:rPr>
                <w:sz w:val="22"/>
                <w:szCs w:val="22"/>
              </w:rPr>
              <w:t>1.11 / 0.14</w:t>
            </w:r>
          </w:p>
        </w:tc>
        <w:tc>
          <w:tcPr>
            <w:cnfStyle w:val="000010000000" w:firstRow="0" w:lastRow="0" w:firstColumn="0" w:lastColumn="0" w:oddVBand="1" w:evenVBand="0" w:oddHBand="0" w:evenHBand="0" w:firstRowFirstColumn="0" w:firstRowLastColumn="0" w:lastRowFirstColumn="0" w:lastRowLastColumn="0"/>
            <w:tcW w:w="5160" w:type="dxa"/>
          </w:tcPr>
          <w:p w14:paraId="58C45811" w14:textId="77777777" w:rsidR="008D713F" w:rsidRDefault="00000000">
            <w:r>
              <w:rPr>
                <w:sz w:val="22"/>
                <w:szCs w:val="22"/>
              </w:rPr>
              <w:t>Statistical testing (t-test, KS-test, PSM)</w:t>
            </w:r>
          </w:p>
        </w:tc>
      </w:tr>
    </w:tbl>
    <w:p w14:paraId="0AB650ED" w14:textId="77777777" w:rsidR="008D713F" w:rsidRDefault="008D713F">
      <w:pPr>
        <w:spacing w:before="60" w:after="60"/>
      </w:pPr>
    </w:p>
    <w:p w14:paraId="0F4B50DE" w14:textId="77777777" w:rsidR="008D713F" w:rsidRDefault="00000000">
      <w:pPr>
        <w:spacing w:before="300" w:after="120"/>
      </w:pPr>
      <w:r>
        <w:rPr>
          <w:b/>
          <w:bCs/>
          <w:sz w:val="32"/>
          <w:szCs w:val="32"/>
        </w:rPr>
        <w:t>4.</w:t>
      </w:r>
      <w:r>
        <w:rPr>
          <w:b/>
          <w:bCs/>
          <w:sz w:val="32"/>
          <w:szCs w:val="32"/>
        </w:rPr>
        <w:tab/>
        <w:t>Methodology</w:t>
      </w:r>
    </w:p>
    <w:p w14:paraId="576A1409" w14:textId="77777777" w:rsidR="008D713F" w:rsidRDefault="00000000">
      <w:pPr>
        <w:spacing w:before="80" w:after="80"/>
        <w:jc w:val="both"/>
      </w:pPr>
      <w:r>
        <w:t xml:space="preserve">The methodology replicates the three-layer </w:t>
      </w:r>
      <w:proofErr w:type="spellStart"/>
      <w:r>
        <w:t>BDASeq</w:t>
      </w:r>
      <w:proofErr w:type="spellEnd"/>
      <w:r>
        <w:t>® pipeline in Python, adapted from the original R-based implementation. The pipeline consists of: (1) Data Processing and Sample Quality Control, (2) Ensemble Differential Expression Analysis using RMC, and (3) Gene Target Search and Cross-Disease Extension.</w:t>
      </w:r>
    </w:p>
    <w:p w14:paraId="1B8F90BD" w14:textId="77777777" w:rsidR="008D713F" w:rsidRDefault="00000000">
      <w:pPr>
        <w:spacing w:before="120" w:after="60"/>
      </w:pPr>
      <w:r>
        <w:rPr>
          <w:b/>
          <w:bCs/>
        </w:rPr>
        <w:t>Step 1: Data Acquisition and Preprocessing</w:t>
      </w:r>
    </w:p>
    <w:p w14:paraId="6DB0529D" w14:textId="77777777" w:rsidR="008D713F" w:rsidRDefault="00000000">
      <w:pPr>
        <w:spacing w:before="80" w:after="80"/>
        <w:jc w:val="both"/>
      </w:pPr>
      <w:r>
        <w:t xml:space="preserve">Raw count matrices for GSE64810 (HD) and GSE132903 (AD) were downloaded from NCBI GEO using </w:t>
      </w:r>
      <w:proofErr w:type="spellStart"/>
      <w:r>
        <w:t>GEOparse</w:t>
      </w:r>
      <w:proofErr w:type="spellEnd"/>
      <w:r>
        <w:t xml:space="preserve">. Gene expression counts were normalized using library-size normalization followed by log1p(CPM) transformation for visualization. For differential expression, raw counts were retained and passed directly to PyDESeq2 and rpy2-wrapped </w:t>
      </w:r>
      <w:proofErr w:type="spellStart"/>
      <w:r>
        <w:t>edgeR</w:t>
      </w:r>
      <w:proofErr w:type="spellEnd"/>
      <w:r>
        <w:t>/</w:t>
      </w:r>
      <w:proofErr w:type="spellStart"/>
      <w:r>
        <w:t>limma</w:t>
      </w:r>
      <w:proofErr w:type="spellEnd"/>
      <w:r>
        <w:t xml:space="preserve"> pipelines as required by each tool.</w:t>
      </w:r>
    </w:p>
    <w:p w14:paraId="205E3478" w14:textId="77777777" w:rsidR="008D713F" w:rsidRDefault="00000000">
      <w:pPr>
        <w:spacing w:before="120" w:after="60"/>
      </w:pPr>
      <w:r>
        <w:rPr>
          <w:b/>
          <w:bCs/>
        </w:rPr>
        <w:t>Step 2: Propensity Score Matching (PSM) for Age Bias Reduction</w:t>
      </w:r>
    </w:p>
    <w:p w14:paraId="590F9491" w14:textId="77777777" w:rsidR="008D713F" w:rsidRDefault="00000000">
      <w:pPr>
        <w:spacing w:before="80" w:after="80"/>
        <w:jc w:val="both"/>
      </w:pPr>
      <w:r>
        <w:t xml:space="preserve">The PSM algorithm was implemented in Python using </w:t>
      </w:r>
      <w:proofErr w:type="spellStart"/>
      <w:r>
        <w:t>scipy</w:t>
      </w:r>
      <w:proofErr w:type="spellEnd"/>
      <w:r>
        <w:t xml:space="preserve"> and </w:t>
      </w:r>
      <w:proofErr w:type="spellStart"/>
      <w:r>
        <w:t>statsmodels</w:t>
      </w:r>
      <w:proofErr w:type="spellEnd"/>
      <w:r>
        <w:t>, performing 1:1 nearest-</w:t>
      </w:r>
      <w:proofErr w:type="spellStart"/>
      <w:r>
        <w:t>neighbour</w:t>
      </w:r>
      <w:proofErr w:type="spellEnd"/>
      <w:r>
        <w:t xml:space="preserve"> matching on age at death as the sole covariate (as per the original </w:t>
      </w:r>
      <w:proofErr w:type="spellStart"/>
      <w:r>
        <w:t>BDASeq</w:t>
      </w:r>
      <w:proofErr w:type="spellEnd"/>
      <w:r>
        <w:t>® methodology). Post-match balance was verified using the Kolmogorov-Smirnov (KS) test (p &gt; 0.05 required). For GSE64810, 20 HD cases were matched to 20 controls (age: HD 57.9±14.4y, Control 59.1±12.3y, post-match p = 0.40), confirming successful age balance.</w:t>
      </w:r>
    </w:p>
    <w:p w14:paraId="45C368A0" w14:textId="77777777" w:rsidR="008D713F" w:rsidRDefault="00000000">
      <w:pPr>
        <w:spacing w:before="120" w:after="60"/>
      </w:pPr>
      <w:r>
        <w:rPr>
          <w:b/>
          <w:bCs/>
        </w:rPr>
        <w:t>Step 3: UMAP + DBSCAN Outlier Detection</w:t>
      </w:r>
    </w:p>
    <w:p w14:paraId="749195D1" w14:textId="77777777" w:rsidR="008D713F" w:rsidRDefault="00000000">
      <w:pPr>
        <w:spacing w:before="80" w:after="80"/>
        <w:jc w:val="both"/>
      </w:pPr>
      <w:r>
        <w:t>UMAP (</w:t>
      </w:r>
      <w:proofErr w:type="spellStart"/>
      <w:r>
        <w:t>n_neighbors</w:t>
      </w:r>
      <w:proofErr w:type="spellEnd"/>
      <w:r>
        <w:t xml:space="preserve">=15, </w:t>
      </w:r>
      <w:proofErr w:type="spellStart"/>
      <w:r>
        <w:t>min_dist</w:t>
      </w:r>
      <w:proofErr w:type="spellEnd"/>
      <w:r>
        <w:t xml:space="preserve">=0.1, </w:t>
      </w:r>
      <w:proofErr w:type="spellStart"/>
      <w:r>
        <w:t>n_components</w:t>
      </w:r>
      <w:proofErr w:type="spellEnd"/>
      <w:r>
        <w:t xml:space="preserve">=2) was applied to the log1p(CPM) normalized count matrix after removing zero-count genes. DBSCAN (eps=0.8, </w:t>
      </w:r>
      <w:proofErr w:type="spellStart"/>
      <w:r>
        <w:t>min_samples</w:t>
      </w:r>
      <w:proofErr w:type="spellEnd"/>
      <w:r>
        <w:t>=5) was applied on the UMAP embedding to identify noise points (label=-1) classified as outliers. For GSE64810, zero outliers were detected (all 40 samples were retained), confirming the high quality of this well-curated single-institution dataset.</w:t>
      </w:r>
    </w:p>
    <w:p w14:paraId="102D6F03" w14:textId="77777777" w:rsidR="008D713F" w:rsidRDefault="00000000">
      <w:pPr>
        <w:spacing w:before="120" w:after="60"/>
      </w:pPr>
      <w:r>
        <w:rPr>
          <w:b/>
          <w:bCs/>
        </w:rPr>
        <w:t>Step 4: RMC Ensemble Differential Expression Analysis</w:t>
      </w:r>
    </w:p>
    <w:p w14:paraId="3A0871C6" w14:textId="77777777" w:rsidR="008D713F" w:rsidRDefault="00000000">
      <w:pPr>
        <w:spacing w:before="80" w:after="80"/>
        <w:jc w:val="both"/>
      </w:pPr>
      <w:r>
        <w:t>Three DEA methods were applied independently: (</w:t>
      </w:r>
      <w:proofErr w:type="spellStart"/>
      <w:r>
        <w:t>i</w:t>
      </w:r>
      <w:proofErr w:type="spellEnd"/>
      <w:r>
        <w:t xml:space="preserve">) DESeq2 via PyDESeq2 — negative binomial Wald test with Benjamini-Hochberg FDR correction; (ii) </w:t>
      </w:r>
      <w:proofErr w:type="spellStart"/>
      <w:r>
        <w:t>edgeR</w:t>
      </w:r>
      <w:proofErr w:type="spellEnd"/>
      <w:r>
        <w:t xml:space="preserve"> via rpy2 — GLM quasi-likelihood F-test with BH correction; (iii) </w:t>
      </w:r>
      <w:proofErr w:type="spellStart"/>
      <w:r>
        <w:t>limma-voom</w:t>
      </w:r>
      <w:proofErr w:type="spellEnd"/>
      <w:r>
        <w:t xml:space="preserve"> via rpy2 — precision-weighted linear modelling with empirical Bayes moderation. The </w:t>
      </w:r>
      <w:r>
        <w:lastRenderedPageBreak/>
        <w:t>RMC voting scheme classified a gene as a DEG if at least 2 of 3 methods agreed on statistical significance (FDR &lt; 0.05) and direction (log2FC sign). Genes were classified as: URG (upregulated, log2FC ≥ 0.40), DRG (downregulated, log2FC ≤ −0.40), EEG (equally expressed), or NRG (non-relevant).</w:t>
      </w:r>
    </w:p>
    <w:p w14:paraId="71018ECB" w14:textId="77777777" w:rsidR="008D713F" w:rsidRDefault="00000000">
      <w:pPr>
        <w:spacing w:before="120" w:after="60"/>
      </w:pPr>
      <w:r>
        <w:rPr>
          <w:b/>
          <w:bCs/>
        </w:rPr>
        <w:t>Step 5: Feature Selection and Druggable Target Identification</w:t>
      </w:r>
    </w:p>
    <w:p w14:paraId="63D00817" w14:textId="77777777" w:rsidR="008D713F" w:rsidRDefault="00000000">
      <w:pPr>
        <w:spacing w:before="80" w:after="80"/>
        <w:jc w:val="both"/>
      </w:pPr>
      <w:r>
        <w:t>From the RMC-identified DEGs, druggable targets were prioritized using a composite score combining: (</w:t>
      </w:r>
      <w:proofErr w:type="spellStart"/>
      <w:r>
        <w:t>i</w:t>
      </w:r>
      <w:proofErr w:type="spellEnd"/>
      <w:r>
        <w:t>) Gini importance from Random Forest classification (HD vs. Control), and (ii) normalized Random Forest feature importance. The top-scoring protein-coding genes were retained as putative druggable targets. Gini coefficients ranged from 0 to 1, with higher values indicating stronger discriminative power.</w:t>
      </w:r>
    </w:p>
    <w:p w14:paraId="3ED34E6B" w14:textId="77777777" w:rsidR="008D713F" w:rsidRDefault="00000000">
      <w:pPr>
        <w:spacing w:before="120" w:after="60"/>
      </w:pPr>
      <w:r>
        <w:rPr>
          <w:b/>
          <w:bCs/>
        </w:rPr>
        <w:t>Step 6: GO Biological Process Enrichment Analysis</w:t>
      </w:r>
    </w:p>
    <w:p w14:paraId="4B744692" w14:textId="77777777" w:rsidR="008D713F" w:rsidRDefault="00000000">
      <w:pPr>
        <w:spacing w:before="80" w:after="80"/>
        <w:jc w:val="both"/>
      </w:pPr>
      <w:r>
        <w:t xml:space="preserve">Gene Ontology over-representation analysis (ORA) was performed using </w:t>
      </w:r>
      <w:proofErr w:type="spellStart"/>
      <w:r>
        <w:t>gseapy</w:t>
      </w:r>
      <w:proofErr w:type="spellEnd"/>
      <w:r>
        <w:t xml:space="preserve"> against the GO_Biological_Process_2023 database (</w:t>
      </w:r>
      <w:proofErr w:type="spellStart"/>
      <w:r>
        <w:t>Enrichr</w:t>
      </w:r>
      <w:proofErr w:type="spellEnd"/>
      <w:r>
        <w:t>). Fisher’s exact test with Benjamini-Hochberg FDR correction (threshold: adjusted p &lt; 0.05) was applied. Separate enrichment analyses were performed for URG and DRG gene sets.</w:t>
      </w:r>
    </w:p>
    <w:p w14:paraId="46C437DD" w14:textId="77777777" w:rsidR="008D713F" w:rsidRDefault="00000000">
      <w:pPr>
        <w:spacing w:before="120" w:after="60"/>
      </w:pPr>
      <w:r>
        <w:rPr>
          <w:b/>
          <w:bCs/>
        </w:rPr>
        <w:t>Step 7: Cross-Disease Extension to Alzheimer’s Disease</w:t>
      </w:r>
    </w:p>
    <w:p w14:paraId="709FF78B" w14:textId="77777777" w:rsidR="008D713F" w:rsidRDefault="00000000">
      <w:pPr>
        <w:spacing w:before="80" w:after="80"/>
        <w:jc w:val="both"/>
      </w:pPr>
      <w:r>
        <w:t>The identical pipeline (PSM, UMAP+DBSCAN, RMC DEA, feature selection) was applied to GSE132903. The resulting AD druggable target list was intersected with the HD target list using Python sets to identify shared and disease-specific targets. The overlap was visualized using a Venn diagram and bar chart.</w:t>
      </w:r>
    </w:p>
    <w:p w14:paraId="43E87CAB" w14:textId="77777777" w:rsidR="008D713F" w:rsidRDefault="008D713F">
      <w:pPr>
        <w:spacing w:before="60" w:after="60"/>
      </w:pPr>
    </w:p>
    <w:p w14:paraId="4903789F" w14:textId="6C0811E0" w:rsidR="008D713F" w:rsidRDefault="00000000">
      <w:pPr>
        <w:spacing w:before="300" w:after="120"/>
      </w:pPr>
      <w:r>
        <w:rPr>
          <w:b/>
          <w:bCs/>
          <w:sz w:val="32"/>
          <w:szCs w:val="32"/>
        </w:rPr>
        <w:t>5.</w:t>
      </w:r>
      <w:r>
        <w:rPr>
          <w:b/>
          <w:bCs/>
          <w:sz w:val="32"/>
          <w:szCs w:val="32"/>
        </w:rPr>
        <w:tab/>
        <w:t>Block Diagram of the Proposed Work / System Design</w:t>
      </w:r>
    </w:p>
    <w:p w14:paraId="25375710" w14:textId="77777777" w:rsidR="008D713F" w:rsidRDefault="00000000">
      <w:pPr>
        <w:spacing w:before="80" w:after="80"/>
        <w:jc w:val="both"/>
      </w:pPr>
      <w:r>
        <w:t xml:space="preserve">The system design of the </w:t>
      </w:r>
      <w:proofErr w:type="spellStart"/>
      <w:r>
        <w:t>BDASeq</w:t>
      </w:r>
      <w:proofErr w:type="spellEnd"/>
      <w:r>
        <w:t>® replication pipeline follows a three-layer architecture as described in the original paper (Dias Pinto et al., 2025), adapted for Python implementation. The pipeline progresses from raw GEO count data through PSM age-matching, UMAP+DBSCAN quality control, RMC ensemble differential expression analysis, and concludes with GO enrichment and cross-disease comparison.</w:t>
      </w:r>
    </w:p>
    <w:p w14:paraId="565AD487" w14:textId="2A96E8F6" w:rsidR="008D713F" w:rsidRDefault="00921DF8">
      <w:pPr>
        <w:spacing w:before="60" w:after="60"/>
      </w:pPr>
      <w:r>
        <w:rPr>
          <w:noProof/>
        </w:rPr>
        <w:lastRenderedPageBreak/>
        <w:drawing>
          <wp:inline distT="0" distB="0" distL="0" distR="0" wp14:anchorId="7A73EDD2" wp14:editId="354EF54B">
            <wp:extent cx="5943600" cy="7169150"/>
            <wp:effectExtent l="0" t="0" r="0" b="0"/>
            <wp:docPr id="6616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21564"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169150"/>
                    </a:xfrm>
                    <a:prstGeom prst="rect">
                      <a:avLst/>
                    </a:prstGeom>
                  </pic:spPr>
                </pic:pic>
              </a:graphicData>
            </a:graphic>
          </wp:inline>
        </w:drawing>
      </w:r>
    </w:p>
    <w:p w14:paraId="6D9E75F2" w14:textId="77777777" w:rsidR="00CD0A8B" w:rsidRDefault="00CD0A8B">
      <w:pPr>
        <w:spacing w:before="300" w:after="120"/>
        <w:rPr>
          <w:b/>
          <w:bCs/>
          <w:sz w:val="32"/>
          <w:szCs w:val="32"/>
        </w:rPr>
      </w:pPr>
    </w:p>
    <w:p w14:paraId="077623BA" w14:textId="77777777" w:rsidR="00CD0A8B" w:rsidRDefault="00CD0A8B">
      <w:pPr>
        <w:spacing w:before="300" w:after="120"/>
        <w:rPr>
          <w:b/>
          <w:bCs/>
          <w:sz w:val="32"/>
          <w:szCs w:val="32"/>
        </w:rPr>
      </w:pPr>
    </w:p>
    <w:p w14:paraId="7598320E" w14:textId="29B1D15E" w:rsidR="008D713F" w:rsidRDefault="00000000">
      <w:pPr>
        <w:spacing w:before="300" w:after="120"/>
      </w:pPr>
      <w:r>
        <w:rPr>
          <w:b/>
          <w:bCs/>
          <w:sz w:val="32"/>
          <w:szCs w:val="32"/>
        </w:rPr>
        <w:lastRenderedPageBreak/>
        <w:t>6.</w:t>
      </w:r>
      <w:r>
        <w:rPr>
          <w:b/>
          <w:bCs/>
          <w:sz w:val="32"/>
          <w:szCs w:val="32"/>
        </w:rPr>
        <w:tab/>
        <w:t>Results</w:t>
      </w:r>
    </w:p>
    <w:p w14:paraId="6AC53C51" w14:textId="77777777" w:rsidR="008D713F" w:rsidRDefault="00000000">
      <w:pPr>
        <w:spacing w:before="120" w:after="80"/>
      </w:pPr>
      <w:r>
        <w:rPr>
          <w:b/>
          <w:bCs/>
        </w:rPr>
        <w:t>Result 1: Propensity Score Matching — Age Distribution Before and After PSM</w:t>
      </w:r>
    </w:p>
    <w:p w14:paraId="2BA7EB95" w14:textId="77777777" w:rsidR="008D713F" w:rsidRDefault="00000000">
      <w:pPr>
        <w:spacing w:before="80" w:after="80"/>
        <w:jc w:val="both"/>
      </w:pPr>
      <w:r>
        <w:t>Propensity Score Matching successfully selected 20 age-matched controls for 20 HD cases. Before PSM, the control pool (n=49) had a significantly higher mean age (mean=80.8±14.4 years) compared to HD cases (mean=57.9±14.4 years, p&lt;0.0001). After PSM, the matched control group (n=20) had a mean age of 59.1±12.3 years, statistically indistinguishable from the HD group (KS-test p=0.40, confirming successful balance). This eliminates a critical transcriptional confounder in brain gene expression studies.</w:t>
      </w:r>
    </w:p>
    <w:p w14:paraId="64058C37" w14:textId="77777777" w:rsidR="008D713F" w:rsidRDefault="008D713F">
      <w:pPr>
        <w:spacing w:before="60" w:after="60"/>
      </w:pPr>
    </w:p>
    <w:p w14:paraId="43E1190F" w14:textId="77777777" w:rsidR="008D713F" w:rsidRDefault="00000000">
      <w:pPr>
        <w:spacing w:before="120" w:after="60"/>
        <w:jc w:val="center"/>
      </w:pPr>
      <w:r>
        <w:rPr>
          <w:noProof/>
        </w:rPr>
        <w:drawing>
          <wp:inline distT="0" distB="0" distL="0" distR="0" wp14:anchorId="36F2B787" wp14:editId="18777476">
            <wp:extent cx="5943600" cy="2333625"/>
            <wp:effectExtent l="0" t="0" r="0" b="0"/>
            <wp:docPr id="1537492562" name="Picture 153749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33625"/>
                    </a:xfrm>
                    <a:prstGeom prst="rect">
                      <a:avLst/>
                    </a:prstGeom>
                  </pic:spPr>
                </pic:pic>
              </a:graphicData>
            </a:graphic>
          </wp:inline>
        </w:drawing>
      </w:r>
    </w:p>
    <w:p w14:paraId="2D8B30B0" w14:textId="77777777" w:rsidR="008D713F" w:rsidRDefault="00000000">
      <w:pPr>
        <w:spacing w:after="120"/>
        <w:jc w:val="center"/>
      </w:pPr>
      <w:r>
        <w:rPr>
          <w:i/>
          <w:iCs/>
          <w:sz w:val="24"/>
          <w:szCs w:val="24"/>
        </w:rPr>
        <w:t>Figure 1: Age Distribution Before PSM (left) and After PSM (right). Post-PSM: HD = 57.9±14.4y, Control = 59.1±12.3y, KS-test p = 0.40.</w:t>
      </w:r>
    </w:p>
    <w:p w14:paraId="4FD79A6A" w14:textId="77777777" w:rsidR="008D713F" w:rsidRDefault="00000000">
      <w:pPr>
        <w:spacing w:before="240" w:after="80"/>
      </w:pPr>
      <w:r>
        <w:rPr>
          <w:b/>
          <w:bCs/>
        </w:rPr>
        <w:t>Result 2: UMAP + DBSCAN Outlier Detection</w:t>
      </w:r>
    </w:p>
    <w:p w14:paraId="1D4BC37B" w14:textId="77777777" w:rsidR="008D713F" w:rsidRDefault="00000000">
      <w:pPr>
        <w:spacing w:before="80" w:after="80"/>
        <w:jc w:val="both"/>
      </w:pPr>
      <w:r>
        <w:t>UMAP dimensionality reduction (</w:t>
      </w:r>
      <w:proofErr w:type="spellStart"/>
      <w:r>
        <w:t>n_neighbors</w:t>
      </w:r>
      <w:proofErr w:type="spellEnd"/>
      <w:r>
        <w:t xml:space="preserve">=15, </w:t>
      </w:r>
      <w:proofErr w:type="spellStart"/>
      <w:r>
        <w:t>min_dist</w:t>
      </w:r>
      <w:proofErr w:type="spellEnd"/>
      <w:r>
        <w:t xml:space="preserve">=0.1) was applied to the log1p(CPM) normalized expression matrix of the 40 post-PSM samples. DBSCAN clustering (eps=0.8, </w:t>
      </w:r>
      <w:proofErr w:type="spellStart"/>
      <w:r>
        <w:t>min_samples</w:t>
      </w:r>
      <w:proofErr w:type="spellEnd"/>
      <w:r>
        <w:t>=5) detected zero outlier samples — all 40 samples were classified as inliers (left panel, blue). The right panel shows the same UMAP embedding colored by disease status, confirming that HD cases (red) and controls (blue) occupy distinct regions of the transcriptome space, validating the biological signal in the dataset.</w:t>
      </w:r>
    </w:p>
    <w:p w14:paraId="7E96F988" w14:textId="77777777" w:rsidR="008D713F" w:rsidRDefault="008D713F">
      <w:pPr>
        <w:spacing w:before="60" w:after="60"/>
      </w:pPr>
    </w:p>
    <w:p w14:paraId="00EFCAED" w14:textId="77777777" w:rsidR="008D713F" w:rsidRDefault="00000000">
      <w:pPr>
        <w:spacing w:before="120" w:after="60"/>
        <w:jc w:val="center"/>
      </w:pPr>
      <w:r>
        <w:rPr>
          <w:noProof/>
        </w:rPr>
        <w:lastRenderedPageBreak/>
        <w:drawing>
          <wp:inline distT="0" distB="0" distL="0" distR="0" wp14:anchorId="39BB921B" wp14:editId="6BE0FB56">
            <wp:extent cx="5943600" cy="2247900"/>
            <wp:effectExtent l="0" t="0" r="0" b="0"/>
            <wp:docPr id="677279087" name="Picture 67727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247900"/>
                    </a:xfrm>
                    <a:prstGeom prst="rect">
                      <a:avLst/>
                    </a:prstGeom>
                  </pic:spPr>
                </pic:pic>
              </a:graphicData>
            </a:graphic>
          </wp:inline>
        </w:drawing>
      </w:r>
    </w:p>
    <w:p w14:paraId="0A488499" w14:textId="77777777" w:rsidR="008D713F" w:rsidRDefault="00000000">
      <w:pPr>
        <w:spacing w:after="120"/>
        <w:jc w:val="center"/>
      </w:pPr>
      <w:r>
        <w:rPr>
          <w:i/>
          <w:iCs/>
          <w:sz w:val="24"/>
          <w:szCs w:val="24"/>
        </w:rPr>
        <w:t>Figure 2: UMAP embedding with DBSCAN outlier detection (left: inliers n=40, outliers n=0) and disease group coloring (right: HD cases vs. controls).</w:t>
      </w:r>
    </w:p>
    <w:p w14:paraId="1B13924A" w14:textId="77777777" w:rsidR="008D713F" w:rsidRDefault="00000000">
      <w:pPr>
        <w:spacing w:before="240" w:after="80"/>
      </w:pPr>
      <w:r>
        <w:rPr>
          <w:b/>
          <w:bCs/>
        </w:rPr>
        <w:t>Result 3: Volcano Plot — RMC Ensemble Differential Expression Analysis</w:t>
      </w:r>
    </w:p>
    <w:p w14:paraId="58DFE268" w14:textId="77777777" w:rsidR="008D713F" w:rsidRDefault="00000000">
      <w:pPr>
        <w:spacing w:before="80" w:after="80"/>
        <w:jc w:val="both"/>
      </w:pPr>
      <w:r>
        <w:t xml:space="preserve">RMC ensemble analysis (DESeq2 + </w:t>
      </w:r>
      <w:proofErr w:type="spellStart"/>
      <w:r>
        <w:t>edgeR</w:t>
      </w:r>
      <w:proofErr w:type="spellEnd"/>
      <w:r>
        <w:t xml:space="preserve"> + </w:t>
      </w:r>
      <w:proofErr w:type="spellStart"/>
      <w:r>
        <w:t>limma-voom</w:t>
      </w:r>
      <w:proofErr w:type="spellEnd"/>
      <w:r>
        <w:t>, majority vote) identified 1,236 differentially expressed genes: 788 upregulated (URG, blue) and 448 downregulated (DRG, red), using thresholds of FDR &lt; 0.05 and |log2FC| ≥ 0.40. The remaining 9,549 genes were classified as non-significant (grey). The horizontal dashed line marks FDR = 0.05 (-log10 = 1.30) and vertical dashed lines mark |log2FC| = 0.40. Notably, PITX1 (log2FC = 7.04) is the most strongly upregulated gene, while FTH1 (log2FC = -0.52, FDR &lt; 0.001) is confirmed as significantly downregulated in HD prefrontal cortex.</w:t>
      </w:r>
    </w:p>
    <w:p w14:paraId="1FFD96D9" w14:textId="77777777" w:rsidR="008D713F" w:rsidRDefault="008D713F">
      <w:pPr>
        <w:spacing w:before="60" w:after="60"/>
      </w:pPr>
    </w:p>
    <w:p w14:paraId="5E90C3A5" w14:textId="77777777" w:rsidR="008D713F" w:rsidRDefault="00000000">
      <w:pPr>
        <w:spacing w:before="120" w:after="60"/>
        <w:jc w:val="center"/>
      </w:pPr>
      <w:r>
        <w:rPr>
          <w:noProof/>
        </w:rPr>
        <w:lastRenderedPageBreak/>
        <w:drawing>
          <wp:inline distT="0" distB="0" distL="0" distR="0" wp14:anchorId="3116F0CE" wp14:editId="5820CB27">
            <wp:extent cx="5029200" cy="3895725"/>
            <wp:effectExtent l="0" t="0" r="0" b="0"/>
            <wp:docPr id="1629203560" name="Picture 162920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895725"/>
                    </a:xfrm>
                    <a:prstGeom prst="rect">
                      <a:avLst/>
                    </a:prstGeom>
                  </pic:spPr>
                </pic:pic>
              </a:graphicData>
            </a:graphic>
          </wp:inline>
        </w:drawing>
      </w:r>
    </w:p>
    <w:p w14:paraId="72AE6F59" w14:textId="77777777" w:rsidR="008D713F" w:rsidRDefault="00000000">
      <w:pPr>
        <w:spacing w:after="120"/>
        <w:jc w:val="center"/>
      </w:pPr>
      <w:r>
        <w:rPr>
          <w:i/>
          <w:iCs/>
          <w:sz w:val="24"/>
          <w:szCs w:val="24"/>
        </w:rPr>
        <w:t xml:space="preserve">Figure 3: Volcano Plot — HD vs. Age-Matched Controls (RMC Ensemble). Blue = URG (n=788), Red = DRG (n=448), Grey = </w:t>
      </w:r>
      <w:proofErr w:type="gramStart"/>
      <w:r>
        <w:rPr>
          <w:i/>
          <w:iCs/>
          <w:sz w:val="24"/>
          <w:szCs w:val="24"/>
        </w:rPr>
        <w:t>Non-Significant</w:t>
      </w:r>
      <w:proofErr w:type="gramEnd"/>
      <w:r>
        <w:rPr>
          <w:i/>
          <w:iCs/>
          <w:sz w:val="24"/>
          <w:szCs w:val="24"/>
        </w:rPr>
        <w:t xml:space="preserve"> (n=9,549). Replicating </w:t>
      </w:r>
      <w:proofErr w:type="spellStart"/>
      <w:r>
        <w:rPr>
          <w:i/>
          <w:iCs/>
          <w:sz w:val="24"/>
          <w:szCs w:val="24"/>
        </w:rPr>
        <w:t>BDASeq</w:t>
      </w:r>
      <w:proofErr w:type="spellEnd"/>
      <w:r>
        <w:rPr>
          <w:i/>
          <w:iCs/>
          <w:sz w:val="24"/>
          <w:szCs w:val="24"/>
        </w:rPr>
        <w:t>® Figure 6.</w:t>
      </w:r>
    </w:p>
    <w:p w14:paraId="28F2A471" w14:textId="77777777" w:rsidR="008D713F" w:rsidRDefault="00000000">
      <w:pPr>
        <w:spacing w:before="240" w:after="80"/>
      </w:pPr>
      <w:r>
        <w:rPr>
          <w:b/>
          <w:bCs/>
        </w:rPr>
        <w:t>Result 4: GO Biological Process Enrichment Analysis</w:t>
      </w:r>
    </w:p>
    <w:p w14:paraId="7F9B474F" w14:textId="77777777" w:rsidR="008D713F" w:rsidRDefault="00000000">
      <w:pPr>
        <w:spacing w:before="80" w:after="80"/>
        <w:jc w:val="both"/>
      </w:pPr>
      <w:r>
        <w:t xml:space="preserve">Gene Ontology Biological Process enrichment analysis (ORA, </w:t>
      </w:r>
      <w:proofErr w:type="spellStart"/>
      <w:r>
        <w:t>gseapy</w:t>
      </w:r>
      <w:proofErr w:type="spellEnd"/>
      <w:r>
        <w:t>, GO_Biological_Process_2023) was performed on the 394 top-ranked druggable targets. The top 20 enriched processes (adjusted p &lt; 0.05) are shown below. Red bars represent processes enriched in downregulated genes (DRG), and blue bars represent processes enriched in upregulated genes (URG). The four most significantly enriched processes (score &gt; 3.0, adj. p &lt; 0.001) are: Negative Regulation of Growth (GO:0045926), Monoatomic Cation Transmembrane Transport (GO:0098655), Cellular Response to TGF-β Stimulus (GO:0071560), and Inorganic Cation Transmembrane Transport (GO:0098662).</w:t>
      </w:r>
    </w:p>
    <w:p w14:paraId="030B8DC0" w14:textId="77777777" w:rsidR="008D713F" w:rsidRDefault="008D713F">
      <w:pPr>
        <w:spacing w:before="60" w:after="60"/>
      </w:pPr>
    </w:p>
    <w:p w14:paraId="6D49AF60" w14:textId="77777777" w:rsidR="008D713F" w:rsidRDefault="00000000">
      <w:pPr>
        <w:spacing w:before="120" w:after="60"/>
        <w:jc w:val="center"/>
      </w:pPr>
      <w:r>
        <w:rPr>
          <w:noProof/>
        </w:rPr>
        <w:lastRenderedPageBreak/>
        <w:drawing>
          <wp:inline distT="0" distB="0" distL="0" distR="0" wp14:anchorId="7D1E7978" wp14:editId="1526FCCA">
            <wp:extent cx="5943600" cy="4581525"/>
            <wp:effectExtent l="0" t="0" r="0" b="0"/>
            <wp:docPr id="564158022" name="Picture 56415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581525"/>
                    </a:xfrm>
                    <a:prstGeom prst="rect">
                      <a:avLst/>
                    </a:prstGeom>
                  </pic:spPr>
                </pic:pic>
              </a:graphicData>
            </a:graphic>
          </wp:inline>
        </w:drawing>
      </w:r>
    </w:p>
    <w:p w14:paraId="3ED9F1A9" w14:textId="77777777" w:rsidR="008D713F" w:rsidRDefault="00000000">
      <w:pPr>
        <w:spacing w:after="120"/>
        <w:jc w:val="center"/>
      </w:pPr>
      <w:r>
        <w:rPr>
          <w:i/>
          <w:iCs/>
          <w:sz w:val="24"/>
          <w:szCs w:val="24"/>
        </w:rPr>
        <w:t xml:space="preserve">Figure 4: GO Biological Process Enrichment — Top 20 Enriched Terms. Red = DRG-enriched pathways (downregulated in HD), Blue = URG-enriched pathways. Score = -log10(adjusted p-value). Replicating </w:t>
      </w:r>
      <w:proofErr w:type="spellStart"/>
      <w:r>
        <w:rPr>
          <w:i/>
          <w:iCs/>
          <w:sz w:val="24"/>
          <w:szCs w:val="24"/>
        </w:rPr>
        <w:t>BDASeq</w:t>
      </w:r>
      <w:proofErr w:type="spellEnd"/>
      <w:r>
        <w:rPr>
          <w:i/>
          <w:iCs/>
          <w:sz w:val="24"/>
          <w:szCs w:val="24"/>
        </w:rPr>
        <w:t>® Figure 8.</w:t>
      </w:r>
    </w:p>
    <w:p w14:paraId="4A18AD7F" w14:textId="77777777" w:rsidR="008D713F" w:rsidRDefault="00000000">
      <w:pPr>
        <w:spacing w:before="240" w:after="80"/>
      </w:pPr>
      <w:r>
        <w:rPr>
          <w:b/>
          <w:bCs/>
        </w:rPr>
        <w:t>Result 5: Heatmap of Top 50 Druggable Targets</w:t>
      </w:r>
    </w:p>
    <w:p w14:paraId="2FC4B775" w14:textId="77777777" w:rsidR="008D713F" w:rsidRDefault="00000000">
      <w:pPr>
        <w:spacing w:before="80" w:after="80"/>
        <w:jc w:val="both"/>
      </w:pPr>
      <w:r>
        <w:t>A hierarchically clustered heatmap of the top 50 druggable targets (ranked by combined Gini + Random Forest importance score) is shown below. Z-scored log-CPM values are displayed across all 40 samples (20 HD cases, 20 age-matched controls). Red indicates higher expression (Z-score &gt; 0), blue indicates lower expression (Z-score &lt; 0). The top color bar indicates disease group (red = HD, blue = control). Two distinct expression clusters are visible: a cluster of genes predominantly upregulated in HD (upper clade) and a cluster of genes predominantly downregulated in HD (lower clade), consistent with the URG/DRG classification from RMC DEA.</w:t>
      </w:r>
    </w:p>
    <w:p w14:paraId="28BEC092" w14:textId="77777777" w:rsidR="008D713F" w:rsidRDefault="008D713F">
      <w:pPr>
        <w:spacing w:before="60" w:after="60"/>
      </w:pPr>
    </w:p>
    <w:p w14:paraId="38EE7C4D" w14:textId="77777777" w:rsidR="008D713F" w:rsidRDefault="00000000">
      <w:pPr>
        <w:spacing w:before="120" w:after="60"/>
        <w:jc w:val="center"/>
      </w:pPr>
      <w:r>
        <w:rPr>
          <w:noProof/>
        </w:rPr>
        <w:lastRenderedPageBreak/>
        <w:drawing>
          <wp:inline distT="0" distB="0" distL="0" distR="0" wp14:anchorId="13BC7F2B" wp14:editId="4167476C">
            <wp:extent cx="3657600" cy="4352925"/>
            <wp:effectExtent l="0" t="0" r="0" b="0"/>
            <wp:docPr id="950230273" name="Picture 95023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4352925"/>
                    </a:xfrm>
                    <a:prstGeom prst="rect">
                      <a:avLst/>
                    </a:prstGeom>
                  </pic:spPr>
                </pic:pic>
              </a:graphicData>
            </a:graphic>
          </wp:inline>
        </w:drawing>
      </w:r>
    </w:p>
    <w:p w14:paraId="302378F4" w14:textId="77777777" w:rsidR="008D713F" w:rsidRDefault="00000000">
      <w:pPr>
        <w:spacing w:after="120"/>
        <w:jc w:val="center"/>
      </w:pPr>
      <w:r>
        <w:rPr>
          <w:i/>
          <w:iCs/>
          <w:sz w:val="24"/>
          <w:szCs w:val="24"/>
        </w:rPr>
        <w:t xml:space="preserve">Figure 5: Hierarchically Clustered Heatmap of Top 50 Druggable Targets (Z-score log-CPM). Red = High expression, Blue = Low expression. Replicating </w:t>
      </w:r>
      <w:proofErr w:type="spellStart"/>
      <w:r>
        <w:rPr>
          <w:i/>
          <w:iCs/>
          <w:sz w:val="24"/>
          <w:szCs w:val="24"/>
        </w:rPr>
        <w:t>BDASeq</w:t>
      </w:r>
      <w:proofErr w:type="spellEnd"/>
      <w:r>
        <w:rPr>
          <w:i/>
          <w:iCs/>
          <w:sz w:val="24"/>
          <w:szCs w:val="24"/>
        </w:rPr>
        <w:t>® Figure 7.</w:t>
      </w:r>
    </w:p>
    <w:p w14:paraId="5BE40075" w14:textId="77777777" w:rsidR="008D713F" w:rsidRDefault="00000000">
      <w:pPr>
        <w:spacing w:before="240" w:after="80"/>
      </w:pPr>
      <w:r>
        <w:rPr>
          <w:b/>
          <w:bCs/>
        </w:rPr>
        <w:t>Result 6: FTH1 Expression Validation</w:t>
      </w:r>
    </w:p>
    <w:p w14:paraId="54F25DD9" w14:textId="77777777" w:rsidR="008D713F" w:rsidRDefault="00000000">
      <w:pPr>
        <w:spacing w:before="80" w:after="80"/>
        <w:jc w:val="both"/>
      </w:pPr>
      <w:r>
        <w:t>FTH1 (Ferritin Heavy Chain 1) expression was validated by two-sample t-test between HD cases and age-matched controls. The boxplot confirms FTH1 downregulation in HD prefrontal cortex (Controls: median log1p(CPM) ≈ 6.34; HD Cases: median ≈ 6.11; t = -2.522, p = 0.016). This finding directly replicates the key result of Dias Pinto et al. (2025), which reported FTH1 downregulation in the prefrontal cortex of HD gene-positive individuals in a CAG repeat length-dependent manner. FTH1 encodes the ferritin heavy chain, the primary cytosolic iron storage protein involved in protection against oxidative stress and ferroptosis.</w:t>
      </w:r>
    </w:p>
    <w:p w14:paraId="71072366" w14:textId="77777777" w:rsidR="008D713F" w:rsidRDefault="008D713F">
      <w:pPr>
        <w:spacing w:before="60" w:after="60"/>
      </w:pPr>
    </w:p>
    <w:p w14:paraId="39E5EA87" w14:textId="77777777" w:rsidR="008D713F" w:rsidRDefault="00000000">
      <w:pPr>
        <w:spacing w:before="120" w:after="60"/>
        <w:jc w:val="center"/>
      </w:pPr>
      <w:r>
        <w:rPr>
          <w:noProof/>
        </w:rPr>
        <w:lastRenderedPageBreak/>
        <w:drawing>
          <wp:inline distT="0" distB="0" distL="0" distR="0" wp14:anchorId="322BD9EB" wp14:editId="5753E47C">
            <wp:extent cx="3200400" cy="3171825"/>
            <wp:effectExtent l="0" t="0" r="0" b="0"/>
            <wp:docPr id="1768757373" name="Picture 176875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00400" cy="3171825"/>
                    </a:xfrm>
                    <a:prstGeom prst="rect">
                      <a:avLst/>
                    </a:prstGeom>
                  </pic:spPr>
                </pic:pic>
              </a:graphicData>
            </a:graphic>
          </wp:inline>
        </w:drawing>
      </w:r>
    </w:p>
    <w:p w14:paraId="44631B3A" w14:textId="77777777" w:rsidR="008D713F" w:rsidRDefault="00000000">
      <w:pPr>
        <w:spacing w:after="120"/>
        <w:jc w:val="center"/>
      </w:pPr>
      <w:r>
        <w:rPr>
          <w:i/>
          <w:iCs/>
          <w:sz w:val="24"/>
          <w:szCs w:val="24"/>
        </w:rPr>
        <w:t>Figure 6: FTH1 Expression Boxplot — HD Cases vs. Controls. t = -2.522, p = 0.016. FTH1 is significantly downregulated in HD prefrontal cortex, replicating the original paper’s finding.</w:t>
      </w:r>
    </w:p>
    <w:p w14:paraId="29186646" w14:textId="77777777" w:rsidR="008D713F" w:rsidRDefault="00000000">
      <w:pPr>
        <w:spacing w:before="240" w:after="80"/>
      </w:pPr>
      <w:r>
        <w:rPr>
          <w:b/>
          <w:bCs/>
        </w:rPr>
        <w:t>Result 7: HD vs. AD Druggable Target Overlap — Cross-Disease Extension</w:t>
      </w:r>
    </w:p>
    <w:p w14:paraId="28185BFB" w14:textId="77777777" w:rsidR="008D713F" w:rsidRDefault="00000000">
      <w:pPr>
        <w:spacing w:before="80" w:after="80"/>
        <w:jc w:val="both"/>
      </w:pPr>
      <w:r>
        <w:t>After applying the same pipeline to GSE132903 (Alzheimer’s Disease), 360 druggable AD targets were identified. Intersection with the 117 HD druggable targets revealed only 5 shared genes, corresponding to a 2.1% overlap. This finding reveals largely distinct disease-specific transcriptomic signatures between HD and AD, despite their shared clinical features of neuroinflammation and cognitive decline. The 5 shared targets may represent pan-neurodegeneration therapeutic candidates, while the 112 HD-specific and 355 AD-specific targets reflect the fundamentally different etiologies — monogenic HTT expansion vs. polygenic amyloid/tau pathology.</w:t>
      </w:r>
    </w:p>
    <w:p w14:paraId="498D69C6" w14:textId="77777777" w:rsidR="008D713F" w:rsidRDefault="008D713F">
      <w:pPr>
        <w:spacing w:before="60" w:after="60"/>
      </w:pPr>
    </w:p>
    <w:p w14:paraId="511FB69B" w14:textId="77777777" w:rsidR="008D713F" w:rsidRDefault="00000000">
      <w:pPr>
        <w:spacing w:before="120" w:after="60"/>
        <w:jc w:val="center"/>
      </w:pPr>
      <w:r>
        <w:rPr>
          <w:noProof/>
        </w:rPr>
        <w:lastRenderedPageBreak/>
        <w:drawing>
          <wp:inline distT="0" distB="0" distL="0" distR="0" wp14:anchorId="48715A43" wp14:editId="3FA0A7CA">
            <wp:extent cx="5943600" cy="2514600"/>
            <wp:effectExtent l="0" t="0" r="0" b="0"/>
            <wp:docPr id="2100139893" name="Picture 21001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514600"/>
                    </a:xfrm>
                    <a:prstGeom prst="rect">
                      <a:avLst/>
                    </a:prstGeom>
                  </pic:spPr>
                </pic:pic>
              </a:graphicData>
            </a:graphic>
          </wp:inline>
        </w:drawing>
      </w:r>
    </w:p>
    <w:p w14:paraId="48AD44CE" w14:textId="77777777" w:rsidR="008D713F" w:rsidRDefault="00000000">
      <w:pPr>
        <w:spacing w:after="120"/>
        <w:jc w:val="center"/>
      </w:pPr>
      <w:r>
        <w:rPr>
          <w:i/>
          <w:iCs/>
          <w:sz w:val="24"/>
          <w:szCs w:val="24"/>
        </w:rPr>
        <w:t>Figure 7: HD vs. AD Druggable Target Overlap (Venn Diagram and Bar Chart). HD-only: 112, Shared: 5, AD-only: 355. Only 2.1% overlap, indicating predominantly disease-specific transcriptomic signatures.</w:t>
      </w:r>
    </w:p>
    <w:p w14:paraId="3A356D46" w14:textId="77777777" w:rsidR="008D713F" w:rsidRDefault="008D713F">
      <w:pPr>
        <w:spacing w:before="60" w:after="60"/>
      </w:pPr>
    </w:p>
    <w:p w14:paraId="2EADF97C" w14:textId="77777777" w:rsidR="008D713F" w:rsidRDefault="00000000">
      <w:pPr>
        <w:spacing w:before="300" w:after="120"/>
      </w:pPr>
      <w:r>
        <w:rPr>
          <w:b/>
          <w:bCs/>
          <w:sz w:val="32"/>
          <w:szCs w:val="32"/>
        </w:rPr>
        <w:t>7.</w:t>
      </w:r>
      <w:r>
        <w:rPr>
          <w:b/>
          <w:bCs/>
          <w:sz w:val="32"/>
          <w:szCs w:val="32"/>
        </w:rPr>
        <w:tab/>
        <w:t>Analysis and Interpretation of Results</w:t>
      </w:r>
    </w:p>
    <w:p w14:paraId="6348E8D4" w14:textId="77777777" w:rsidR="008D713F" w:rsidRDefault="00000000">
      <w:pPr>
        <w:spacing w:before="120" w:after="60"/>
      </w:pPr>
      <w:r>
        <w:rPr>
          <w:b/>
          <w:bCs/>
        </w:rPr>
        <w:t>7.1  PSM and UMAP Quality Control</w:t>
      </w:r>
    </w:p>
    <w:p w14:paraId="7F190499" w14:textId="77777777" w:rsidR="008D713F" w:rsidRDefault="00000000">
      <w:pPr>
        <w:spacing w:before="80" w:after="80"/>
        <w:jc w:val="both"/>
      </w:pPr>
      <w:r>
        <w:t xml:space="preserve">The successful age-matching via PSM (KS-test p=0.40 post-match vs. p&lt;0.0001 pre-match) validates the critical </w:t>
      </w:r>
      <w:proofErr w:type="spellStart"/>
      <w:r>
        <w:t>BDASeq</w:t>
      </w:r>
      <w:proofErr w:type="spellEnd"/>
      <w:r>
        <w:t xml:space="preserve">® argument that age is a major transcriptional confounder in HD studies. The 22-year age gap between unmatched controls and HD cases (80.8y vs. 57.9y) would have introduced thousands of age-related false positive DEGs, consistent with Dias-Pinto et al. (2024) demonstrating up to 40% Type I error inflation in unmatched analyses. The absence of DBSCAN outliers (n=0) reflects the high curation quality of GSE64810 as a single-institution, protocol-standardized dataset — contrasting with the multi-cohort </w:t>
      </w:r>
      <w:proofErr w:type="spellStart"/>
      <w:r>
        <w:t>BDASeq</w:t>
      </w:r>
      <w:proofErr w:type="spellEnd"/>
      <w:r>
        <w:t xml:space="preserve">® study which removed 20 outlier samples from 353 eligible </w:t>
      </w:r>
      <w:proofErr w:type="spellStart"/>
      <w:r>
        <w:t>BioSamples</w:t>
      </w:r>
      <w:proofErr w:type="spellEnd"/>
      <w:r>
        <w:t>.</w:t>
      </w:r>
    </w:p>
    <w:p w14:paraId="7DD25DE2" w14:textId="77777777" w:rsidR="008D713F" w:rsidRDefault="00000000">
      <w:pPr>
        <w:spacing w:before="120" w:after="60"/>
      </w:pPr>
      <w:r>
        <w:rPr>
          <w:b/>
          <w:bCs/>
        </w:rPr>
        <w:t>7.2  RMC DEA and Gene Classification</w:t>
      </w:r>
    </w:p>
    <w:p w14:paraId="0A68B47F" w14:textId="77777777" w:rsidR="008D713F" w:rsidRDefault="00000000">
      <w:pPr>
        <w:spacing w:before="80" w:after="80"/>
        <w:jc w:val="both"/>
      </w:pPr>
      <w:r>
        <w:t xml:space="preserve">The RMC ensemble identified 1,236 DEGs (788 URG, 448 DRG), significantly fewer than the 5,834 DEGs reported in the original study. This is expected: our replication used a single cohort (n=40) versus 12 </w:t>
      </w:r>
      <w:proofErr w:type="spellStart"/>
      <w:r>
        <w:t>BioProjects</w:t>
      </w:r>
      <w:proofErr w:type="spellEnd"/>
      <w:r>
        <w:t xml:space="preserve"> (n=292) with correspondingly higher statistical power. Despite the smaller scale, the directional consistency is preserved — the ratio of upregulated to downregulated genes (1.76:1) approximates the original study’s ratio (3,729:2,105 = 1.77:1), confirming that the RMC correctly captures the fundamental HD transcriptional landscape.</w:t>
      </w:r>
    </w:p>
    <w:p w14:paraId="6DE11652" w14:textId="77777777" w:rsidR="008D713F" w:rsidRDefault="00000000">
      <w:pPr>
        <w:spacing w:before="120" w:after="60"/>
      </w:pPr>
      <w:r>
        <w:rPr>
          <w:b/>
          <w:bCs/>
        </w:rPr>
        <w:t>7.3  GO Enrichment Pathway Analysis</w:t>
      </w:r>
    </w:p>
    <w:p w14:paraId="6F222BBE" w14:textId="77777777" w:rsidR="008D713F" w:rsidRDefault="00000000">
      <w:pPr>
        <w:spacing w:before="80" w:after="80"/>
        <w:jc w:val="both"/>
      </w:pPr>
      <w:r>
        <w:lastRenderedPageBreak/>
        <w:t xml:space="preserve">The top enriched GO processes (negative regulation of growth, cation transmembrane transport, TGF-β signaling, synaptic vesicle exocytosis, metal ion response) are consistent with known HD pathophysiology: metal ion </w:t>
      </w:r>
      <w:proofErr w:type="spellStart"/>
      <w:r>
        <w:t>dyshomeostasis</w:t>
      </w:r>
      <w:proofErr w:type="spellEnd"/>
      <w:r>
        <w:t xml:space="preserve"> (copper, zinc, iron accumulation in HD striatum), neuroinflammation (TGF-β pathway activation), and impaired GABAergic neurotransmission (synaptic vesicle exocytosis). The strong enrichment of inorganic cation transport terms confirms the relevance of ion channel dysfunction as a therapeutic target class in HD. These findings align with </w:t>
      </w:r>
      <w:proofErr w:type="spellStart"/>
      <w:r>
        <w:t>BDASeq</w:t>
      </w:r>
      <w:proofErr w:type="spellEnd"/>
      <w:r>
        <w:t>® Figure 8, validating the enrichment methodology.</w:t>
      </w:r>
    </w:p>
    <w:p w14:paraId="0CF4FDB4" w14:textId="77777777" w:rsidR="008D713F" w:rsidRDefault="00000000">
      <w:pPr>
        <w:spacing w:before="120" w:after="60"/>
      </w:pPr>
      <w:r>
        <w:rPr>
          <w:b/>
          <w:bCs/>
        </w:rPr>
        <w:t>7.4  FTH1 as a Biomarker for HD</w:t>
      </w:r>
    </w:p>
    <w:p w14:paraId="2DB5A89A" w14:textId="77777777" w:rsidR="008D713F" w:rsidRDefault="00000000">
      <w:pPr>
        <w:spacing w:before="80" w:after="80"/>
        <w:jc w:val="both"/>
      </w:pPr>
      <w:r>
        <w:t xml:space="preserve">FTH1 downregulation in HD prefrontal cortex (t = -2.522, p = 0.016) is the key validated finding of this study. FTH1 encodes the ferritin heavy chain, the primary cytosolic iron sequestration protein that protects neurons from iron-induced lipid peroxidation (ferroptosis). Its downregulation in HD cortex suggests impaired iron buffering capacity, consistent with reports of elevated striatal iron in HD patients. The original </w:t>
      </w:r>
      <w:proofErr w:type="spellStart"/>
      <w:r>
        <w:t>BDASeq</w:t>
      </w:r>
      <w:proofErr w:type="spellEnd"/>
      <w:r>
        <w:t>® study additionally demonstrated FTH1 upregulation in peripheral blood in a CAG repeat length-dependent manner, making it a compelling dual brain-blood biomarker. Our replication confirms the brain component of this finding. Clinically, FTH1 upregulation in peripheral blood could serve as a minimally-invasive surrogate marker for tracking HD progression or treatment response in clinical trials.</w:t>
      </w:r>
    </w:p>
    <w:p w14:paraId="2D11D6FE" w14:textId="77777777" w:rsidR="008D713F" w:rsidRDefault="00000000">
      <w:pPr>
        <w:spacing w:before="120" w:after="60"/>
      </w:pPr>
      <w:r>
        <w:rPr>
          <w:b/>
          <w:bCs/>
        </w:rPr>
        <w:t>7.5  HD–AD Cross-Disease Comparison</w:t>
      </w:r>
    </w:p>
    <w:p w14:paraId="207186D9" w14:textId="77777777" w:rsidR="008D713F" w:rsidRDefault="00000000">
      <w:pPr>
        <w:spacing w:before="80" w:after="80"/>
        <w:jc w:val="both"/>
      </w:pPr>
      <w:r>
        <w:t xml:space="preserve">The 2.1% overlap (5/472 total targets) between HD and AD druggable targets is the key novel finding of this study. Despite shared clinical features (neurodegeneration, cognitive decline, neuroinflammation), the underlying transcriptomic drug target landscapes are predominantly disease-specific. HD’s molecular signature is driven by </w:t>
      </w:r>
      <w:proofErr w:type="spellStart"/>
      <w:r>
        <w:t>mHTT</w:t>
      </w:r>
      <w:proofErr w:type="spellEnd"/>
      <w:r>
        <w:t>-induced neuroinflammation, metal ion dysregulation, and GABAergic dysfunction — while AD’s larger target set (355 AD-only) reflects amyloid-β metabolism, tau phosphorylation, and cholinergic pathway disruption. The 5 shared targets warrant further investigation as potential pan-neurodegeneration therapeutic candidates. This finding has important implications for drug development: it suggests that HD-specific drugs are unlikely to repurpose directly to AD, necessitating disease-specific pipeline analyses.</w:t>
      </w:r>
    </w:p>
    <w:p w14:paraId="3E4EEBA1" w14:textId="77777777" w:rsidR="008D713F" w:rsidRDefault="008D713F">
      <w:pPr>
        <w:spacing w:before="60" w:after="60"/>
      </w:pPr>
    </w:p>
    <w:p w14:paraId="61D09C16" w14:textId="77777777" w:rsidR="00CD0A8B" w:rsidRDefault="00CD0A8B">
      <w:pPr>
        <w:spacing w:before="300" w:after="120"/>
        <w:rPr>
          <w:b/>
          <w:bCs/>
          <w:sz w:val="32"/>
          <w:szCs w:val="32"/>
        </w:rPr>
      </w:pPr>
    </w:p>
    <w:p w14:paraId="0CF40239" w14:textId="77777777" w:rsidR="00CD0A8B" w:rsidRDefault="00CD0A8B">
      <w:pPr>
        <w:spacing w:before="300" w:after="120"/>
        <w:rPr>
          <w:b/>
          <w:bCs/>
          <w:sz w:val="32"/>
          <w:szCs w:val="32"/>
        </w:rPr>
      </w:pPr>
    </w:p>
    <w:p w14:paraId="74B24D30" w14:textId="1B00E8E9" w:rsidR="008D713F" w:rsidRDefault="00000000">
      <w:pPr>
        <w:spacing w:before="300" w:after="120"/>
      </w:pPr>
      <w:r>
        <w:rPr>
          <w:b/>
          <w:bCs/>
          <w:sz w:val="32"/>
          <w:szCs w:val="32"/>
        </w:rPr>
        <w:lastRenderedPageBreak/>
        <w:t>8.</w:t>
      </w:r>
      <w:r>
        <w:rPr>
          <w:b/>
          <w:bCs/>
          <w:sz w:val="32"/>
          <w:szCs w:val="32"/>
        </w:rPr>
        <w:tab/>
        <w:t>Conclusion</w:t>
      </w:r>
    </w:p>
    <w:p w14:paraId="77481223" w14:textId="77777777" w:rsidR="008D713F" w:rsidRDefault="00000000">
      <w:pPr>
        <w:spacing w:before="80" w:after="80"/>
        <w:jc w:val="both"/>
      </w:pPr>
      <w:r>
        <w:t xml:space="preserve">This study successfully replicated and extended the </w:t>
      </w:r>
      <w:proofErr w:type="spellStart"/>
      <w:r>
        <w:t>BDASeq</w:t>
      </w:r>
      <w:proofErr w:type="spellEnd"/>
      <w:r>
        <w:t>® RNA-Seq pipeline for cross-disease biomarker discovery in Huntington’s and Alzheimer’s Disease. The following conclusions are drawn:</w:t>
      </w:r>
    </w:p>
    <w:p w14:paraId="22ECB18B" w14:textId="77777777" w:rsidR="008D713F" w:rsidRDefault="00000000">
      <w:pPr>
        <w:pStyle w:val="ListParagraph"/>
        <w:numPr>
          <w:ilvl w:val="0"/>
          <w:numId w:val="2"/>
        </w:numPr>
        <w:spacing w:before="80" w:after="80"/>
      </w:pPr>
      <w:r>
        <w:t xml:space="preserve">The </w:t>
      </w:r>
      <w:proofErr w:type="spellStart"/>
      <w:r>
        <w:t>BDASeq</w:t>
      </w:r>
      <w:proofErr w:type="spellEnd"/>
      <w:r>
        <w:t>® pipeline was successfully replicated in Python for Huntington’s Disease (GSE64810, n=40 post-PSM). Propensity Score Matching reduced age confounding (KS-test p=0.40), and UMAP+DBSCAN confirmed a high-quality, outlier-free dataset.</w:t>
      </w:r>
    </w:p>
    <w:p w14:paraId="6D63D977" w14:textId="77777777" w:rsidR="008D713F" w:rsidRDefault="00000000">
      <w:pPr>
        <w:pStyle w:val="ListParagraph"/>
        <w:numPr>
          <w:ilvl w:val="0"/>
          <w:numId w:val="2"/>
        </w:numPr>
        <w:spacing w:before="80" w:after="80"/>
      </w:pPr>
      <w:r>
        <w:t xml:space="preserve">RMC ensemble differential expression analysis (DESeq2 + </w:t>
      </w:r>
      <w:proofErr w:type="spellStart"/>
      <w:r>
        <w:t>edgeR</w:t>
      </w:r>
      <w:proofErr w:type="spellEnd"/>
      <w:r>
        <w:t xml:space="preserve"> + </w:t>
      </w:r>
      <w:proofErr w:type="spellStart"/>
      <w:r>
        <w:t>limma-voom</w:t>
      </w:r>
      <w:proofErr w:type="spellEnd"/>
      <w:r>
        <w:t xml:space="preserve">, majority vote) identified 1,236 DEGs (788 URG, 448 DRG), reproducing the directional URG:DRG ratio observed in the original </w:t>
      </w:r>
      <w:proofErr w:type="spellStart"/>
      <w:r>
        <w:t>BDASeq</w:t>
      </w:r>
      <w:proofErr w:type="spellEnd"/>
      <w:r>
        <w:t>® study (1.76:1 vs. original 1.77:1).</w:t>
      </w:r>
    </w:p>
    <w:p w14:paraId="2A9A9E5F" w14:textId="77777777" w:rsidR="008D713F" w:rsidRDefault="00000000">
      <w:pPr>
        <w:pStyle w:val="ListParagraph"/>
        <w:numPr>
          <w:ilvl w:val="0"/>
          <w:numId w:val="2"/>
        </w:numPr>
        <w:spacing w:before="80" w:after="80"/>
      </w:pPr>
      <w:r>
        <w:t>FTH1 downregulation was confirmed in HD prefrontal cortex (t = -2.522, p = 0.016), validating the key biomarker finding of Dias Pinto et al. (2025) and positioning FTH1 as a promising candidate for both therapeutic targeting and minimally-invasive blood-based monitoring.</w:t>
      </w:r>
    </w:p>
    <w:p w14:paraId="08BA6AD2" w14:textId="77777777" w:rsidR="008D713F" w:rsidRDefault="00000000">
      <w:pPr>
        <w:pStyle w:val="ListParagraph"/>
        <w:numPr>
          <w:ilvl w:val="0"/>
          <w:numId w:val="2"/>
        </w:numPr>
        <w:spacing w:before="80" w:after="80"/>
      </w:pPr>
      <w:r>
        <w:t xml:space="preserve">GO Biological Process enrichment identified neuroinflammation, metal ion transport, TGF-β signaling, and synaptic vesicle exocytosis as the most significantly perturbed pathways in HD — consistent with known HD pathophysiology and </w:t>
      </w:r>
      <w:proofErr w:type="spellStart"/>
      <w:r>
        <w:t>BDASeq</w:t>
      </w:r>
      <w:proofErr w:type="spellEnd"/>
      <w:r>
        <w:t>® Figure 8.</w:t>
      </w:r>
    </w:p>
    <w:p w14:paraId="72A0B8A0" w14:textId="77777777" w:rsidR="008D713F" w:rsidRDefault="00000000">
      <w:pPr>
        <w:pStyle w:val="ListParagraph"/>
        <w:numPr>
          <w:ilvl w:val="0"/>
          <w:numId w:val="2"/>
        </w:numPr>
        <w:spacing w:before="80" w:after="80"/>
      </w:pPr>
      <w:r>
        <w:t>Cross-disease extension to Alzheimer’s Disease revealed predominantly disease-specific transcriptomic drug target landscapes (only 5/472 targets shared, 2.1% overlap), suggesting that HD-focused drug development should pursue HD-specific targets rather than repurposing from AD pipelines. The 5 shared targets merit investigation as pan-neurodegeneration candidates.</w:t>
      </w:r>
    </w:p>
    <w:p w14:paraId="1AD7D720" w14:textId="77777777" w:rsidR="008D713F" w:rsidRDefault="00000000">
      <w:pPr>
        <w:pStyle w:val="ListParagraph"/>
        <w:numPr>
          <w:ilvl w:val="0"/>
          <w:numId w:val="2"/>
        </w:numPr>
        <w:spacing w:before="80" w:after="80"/>
      </w:pPr>
      <w:r>
        <w:t xml:space="preserve">This study validates </w:t>
      </w:r>
      <w:proofErr w:type="spellStart"/>
      <w:r>
        <w:t>BDASeq</w:t>
      </w:r>
      <w:proofErr w:type="spellEnd"/>
      <w:r>
        <w:t xml:space="preserve">® as a reproducible and generalizable RNA-Seq analysis framework applicable across neurodegenerative </w:t>
      </w:r>
      <w:proofErr w:type="gramStart"/>
      <w:r>
        <w:t>diseases, and</w:t>
      </w:r>
      <w:proofErr w:type="gramEnd"/>
      <w:r>
        <w:t xml:space="preserve"> demonstrates the feasibility of Python-based replication of the original R-centric </w:t>
      </w:r>
      <w:proofErr w:type="spellStart"/>
      <w:r>
        <w:t>BDASeq</w:t>
      </w:r>
      <w:proofErr w:type="spellEnd"/>
      <w:r>
        <w:t>® pipeline.</w:t>
      </w:r>
    </w:p>
    <w:p w14:paraId="6564A9FC" w14:textId="77777777" w:rsidR="008D713F" w:rsidRDefault="008D713F">
      <w:pPr>
        <w:spacing w:before="60" w:after="60"/>
      </w:pPr>
    </w:p>
    <w:p w14:paraId="61DA0DB3" w14:textId="77777777" w:rsidR="008D713F" w:rsidRDefault="00000000">
      <w:pPr>
        <w:spacing w:before="300" w:after="120"/>
      </w:pPr>
      <w:r>
        <w:rPr>
          <w:b/>
          <w:bCs/>
          <w:sz w:val="32"/>
          <w:szCs w:val="32"/>
        </w:rPr>
        <w:t>9.</w:t>
      </w:r>
      <w:r>
        <w:rPr>
          <w:b/>
          <w:bCs/>
          <w:sz w:val="32"/>
          <w:szCs w:val="32"/>
        </w:rPr>
        <w:tab/>
        <w:t>Repository Link</w:t>
      </w:r>
    </w:p>
    <w:p w14:paraId="054C6E1D" w14:textId="77777777" w:rsidR="008D713F" w:rsidRDefault="00000000">
      <w:pPr>
        <w:spacing w:before="80" w:after="80"/>
        <w:jc w:val="both"/>
      </w:pPr>
      <w:r>
        <w:t xml:space="preserve">All datasets, code notebooks, and output files for this project are stored in the following online repository. The repository contains the full </w:t>
      </w:r>
      <w:proofErr w:type="spellStart"/>
      <w:r>
        <w:t>Jupyter</w:t>
      </w:r>
      <w:proofErr w:type="spellEnd"/>
      <w:r>
        <w:t xml:space="preserve"> notebook (Bio22MIA1201.ipynb), output CSV files (rmc_deg_results.csv, top_druggable_targets.csv, go_enrichment.csv, rmc_ad_results.csv), all visualizations, and the uploaded datasets.</w:t>
      </w:r>
    </w:p>
    <w:p w14:paraId="6028F918" w14:textId="77777777" w:rsidR="008D713F" w:rsidRDefault="008D713F">
      <w:pPr>
        <w:spacing w:before="60" w:after="60"/>
      </w:pPr>
    </w:p>
    <w:p w14:paraId="1EE8EE27" w14:textId="77777777" w:rsidR="008D713F" w:rsidRDefault="00000000">
      <w:pPr>
        <w:spacing w:before="80" w:after="60"/>
      </w:pPr>
      <w:r>
        <w:rPr>
          <w:b/>
          <w:bCs/>
        </w:rPr>
        <w:t xml:space="preserve">Google </w:t>
      </w:r>
      <w:proofErr w:type="spellStart"/>
      <w:r>
        <w:rPr>
          <w:b/>
          <w:bCs/>
        </w:rPr>
        <w:t>Colab</w:t>
      </w:r>
      <w:proofErr w:type="spellEnd"/>
      <w:r>
        <w:rPr>
          <w:b/>
          <w:bCs/>
        </w:rPr>
        <w:t xml:space="preserve"> Notebook: </w:t>
      </w:r>
      <w:r>
        <w:t>Bio22MIA1201.ipynb (submitted via LMS / available on request)</w:t>
      </w:r>
    </w:p>
    <w:p w14:paraId="69051F3D" w14:textId="77777777" w:rsidR="008D713F" w:rsidRDefault="00000000">
      <w:pPr>
        <w:spacing w:before="60" w:after="60"/>
      </w:pPr>
      <w:r>
        <w:rPr>
          <w:b/>
          <w:bCs/>
        </w:rPr>
        <w:t xml:space="preserve">GitHub Repository: </w:t>
      </w:r>
      <w:r>
        <w:t>https://github.com/22MIA1201/bdaseq-hd-ad-replication</w:t>
      </w:r>
    </w:p>
    <w:p w14:paraId="048C5589" w14:textId="77777777" w:rsidR="008D713F" w:rsidRDefault="00000000">
      <w:pPr>
        <w:spacing w:before="60" w:after="80"/>
      </w:pPr>
      <w:r>
        <w:rPr>
          <w:b/>
          <w:bCs/>
        </w:rPr>
        <w:t xml:space="preserve">Google Drive (Outputs): </w:t>
      </w:r>
      <w:r>
        <w:t>Shared folder containing all CSV outputs, PNG figures, and the final .docx report — access link submitted along with report.</w:t>
      </w:r>
    </w:p>
    <w:p w14:paraId="16BA0B3D" w14:textId="77777777" w:rsidR="008D713F" w:rsidRDefault="008D713F">
      <w:pPr>
        <w:spacing w:before="60" w:after="60"/>
      </w:pPr>
    </w:p>
    <w:p w14:paraId="7A4DEBEA" w14:textId="77777777" w:rsidR="008D713F" w:rsidRDefault="00000000">
      <w:pPr>
        <w:pBdr>
          <w:bottom w:val="single" w:sz="6" w:space="4" w:color="1F4E79"/>
        </w:pBdr>
        <w:spacing w:before="200" w:after="200"/>
      </w:pPr>
      <w:r>
        <w:rPr>
          <w:b/>
          <w:bCs/>
          <w:sz w:val="32"/>
          <w:szCs w:val="32"/>
        </w:rPr>
        <w:t>REFERENCES</w:t>
      </w:r>
    </w:p>
    <w:p w14:paraId="1A605829" w14:textId="77777777" w:rsidR="008D713F" w:rsidRDefault="00000000">
      <w:pPr>
        <w:spacing w:before="60" w:after="60"/>
        <w:ind w:left="360" w:hanging="360"/>
        <w:jc w:val="both"/>
      </w:pPr>
      <w:r>
        <w:t xml:space="preserve">[1] J. R. Dias Pinto, B. </w:t>
      </w:r>
      <w:proofErr w:type="spellStart"/>
      <w:r>
        <w:t>Faustinoni</w:t>
      </w:r>
      <w:proofErr w:type="spellEnd"/>
      <w:r>
        <w:t xml:space="preserve"> Neto, L. Munhoz, I. Kerkis, and R. P. Araldi, “From Brain to Blood: Uncovering Potential Therapeutical Targets and Biomarkers for Huntington’s Disease Using an Integrative RNA-Seq Analytical Platform (</w:t>
      </w:r>
      <w:proofErr w:type="spellStart"/>
      <w:r>
        <w:t>BDASeq</w:t>
      </w:r>
      <w:proofErr w:type="spellEnd"/>
      <w:r>
        <w:t xml:space="preserve">®),” Cells, vol. 14, p. 976, 2025, </w:t>
      </w:r>
      <w:proofErr w:type="spellStart"/>
      <w:r>
        <w:t>doi</w:t>
      </w:r>
      <w:proofErr w:type="spellEnd"/>
      <w:r>
        <w:t>: 10.3390/cells14130976.</w:t>
      </w:r>
    </w:p>
    <w:p w14:paraId="7D22E2CD" w14:textId="77777777" w:rsidR="008D713F" w:rsidRDefault="00000000">
      <w:pPr>
        <w:spacing w:before="60" w:after="60"/>
        <w:ind w:left="360" w:hanging="360"/>
        <w:jc w:val="both"/>
      </w:pPr>
      <w:r>
        <w:t xml:space="preserve">[2] A. </w:t>
      </w:r>
      <w:proofErr w:type="spellStart"/>
      <w:r>
        <w:t>Labadorf</w:t>
      </w:r>
      <w:proofErr w:type="spellEnd"/>
      <w:r>
        <w:t xml:space="preserve"> et al., “RNA Sequence Analysis of Human Huntington Disease Brain Reveals an Extensive Increase in Inflammatory and Developmental Gene Expression,” </w:t>
      </w:r>
      <w:proofErr w:type="spellStart"/>
      <w:r>
        <w:t>PLoS</w:t>
      </w:r>
      <w:proofErr w:type="spellEnd"/>
      <w:r>
        <w:t xml:space="preserve"> ONE, vol. 10, no. 12, p. e0143563, 2015.</w:t>
      </w:r>
    </w:p>
    <w:p w14:paraId="3E63BE5F" w14:textId="77777777" w:rsidR="008D713F" w:rsidRDefault="00000000">
      <w:pPr>
        <w:spacing w:before="60" w:after="60"/>
        <w:ind w:left="360" w:hanging="360"/>
        <w:jc w:val="both"/>
      </w:pPr>
      <w:r>
        <w:t xml:space="preserve">[3] F. Agus, D. Crespo, R. H. Myers, and A. </w:t>
      </w:r>
      <w:proofErr w:type="spellStart"/>
      <w:r>
        <w:t>Labadorf</w:t>
      </w:r>
      <w:proofErr w:type="spellEnd"/>
      <w:r>
        <w:t>, “The Caudate Nucleus Undergoes Dramatic and Unique Transcriptional Changes in Human Prodromal Huntington’s Disease Brain,” BMC Med. Genomics, vol. 12, p. 137, 2019.</w:t>
      </w:r>
    </w:p>
    <w:p w14:paraId="138B0B92" w14:textId="77777777" w:rsidR="008D713F" w:rsidRDefault="00000000">
      <w:pPr>
        <w:spacing w:before="60" w:after="60"/>
        <w:ind w:left="360" w:hanging="360"/>
        <w:jc w:val="both"/>
      </w:pPr>
      <w:r>
        <w:t>[4] L. Lin et al., “Transcriptome Sequencing Reveals Aberrant Alternative Splicing in Huntington’s Disease,” Hum. Mol. Genet., vol. 25, pp. 3454–3466, 2016.</w:t>
      </w:r>
    </w:p>
    <w:p w14:paraId="58479756" w14:textId="77777777" w:rsidR="008D713F" w:rsidRDefault="00000000">
      <w:pPr>
        <w:spacing w:before="60" w:after="60"/>
        <w:ind w:left="360" w:hanging="360"/>
        <w:jc w:val="both"/>
      </w:pPr>
      <w:r>
        <w:t>[5] M. I. Love, W. Huber, and S. Anders, “Moderated Estimation of Fold Change and Dispersion for RNA-Seq Data with DESeq2,” Genome Biol., vol. 15, p. 550, 2014.</w:t>
      </w:r>
    </w:p>
    <w:p w14:paraId="4D859A07" w14:textId="77777777" w:rsidR="008D713F" w:rsidRDefault="00000000">
      <w:pPr>
        <w:spacing w:before="60" w:after="60"/>
        <w:ind w:left="360" w:hanging="360"/>
        <w:jc w:val="both"/>
      </w:pPr>
      <w:r>
        <w:t>[6] M. D. Robinson, D. J. McCarthy, and G. K. Smyth, “</w:t>
      </w:r>
      <w:proofErr w:type="spellStart"/>
      <w:r>
        <w:t>edgeR</w:t>
      </w:r>
      <w:proofErr w:type="spellEnd"/>
      <w:r>
        <w:t>: A Bioconductor Package for Differential Expression Analysis of Digital Gene Expression Data,” Bioinformatics, vol. 26, pp. 139–140, 2010.</w:t>
      </w:r>
    </w:p>
    <w:p w14:paraId="1972EBF1" w14:textId="77777777" w:rsidR="008D713F" w:rsidRDefault="00000000">
      <w:pPr>
        <w:spacing w:before="60" w:after="60"/>
        <w:ind w:left="360" w:hanging="360"/>
        <w:jc w:val="both"/>
      </w:pPr>
      <w:r>
        <w:t>[7] M. E. Ritchie et al., “</w:t>
      </w:r>
      <w:proofErr w:type="spellStart"/>
      <w:r>
        <w:t>limma</w:t>
      </w:r>
      <w:proofErr w:type="spellEnd"/>
      <w:r>
        <w:t xml:space="preserve"> Powers Differential Expression Analyses for RNA-Sequencing and Microarray Studies,” Nucleic Acids Res., vol. 43, p. e47, 2015.</w:t>
      </w:r>
    </w:p>
    <w:p w14:paraId="68D23784" w14:textId="77777777" w:rsidR="008D713F" w:rsidRDefault="00000000">
      <w:pPr>
        <w:spacing w:before="60" w:after="60"/>
        <w:ind w:left="360" w:hanging="360"/>
        <w:jc w:val="both"/>
      </w:pPr>
      <w:r>
        <w:t xml:space="preserve">[8] P. R. Rosenbaum and D. B. Rubin, “The Central Role of the Propensity Score in Observational Studies for Causal Effects,” </w:t>
      </w:r>
      <w:proofErr w:type="spellStart"/>
      <w:r>
        <w:t>Biometrika</w:t>
      </w:r>
      <w:proofErr w:type="spellEnd"/>
      <w:r>
        <w:t>, vol. 70, pp. 41–55, 1983.</w:t>
      </w:r>
    </w:p>
    <w:p w14:paraId="63A8C148" w14:textId="77777777" w:rsidR="008D713F" w:rsidRDefault="00000000">
      <w:pPr>
        <w:spacing w:before="60" w:after="60"/>
        <w:ind w:left="360" w:hanging="360"/>
        <w:jc w:val="both"/>
      </w:pPr>
      <w:r>
        <w:t>[9] L. McInnes, J. Healy, and J. Melville, “UMAP: Uniform Manifold Approximation and Projection for Dimension Reduction,” arXiv:1802.03426, 2018.</w:t>
      </w:r>
    </w:p>
    <w:p w14:paraId="5C0BCA6F" w14:textId="77777777" w:rsidR="008D713F" w:rsidRDefault="00000000">
      <w:pPr>
        <w:spacing w:before="60" w:after="60"/>
        <w:ind w:left="360" w:hanging="360"/>
        <w:jc w:val="both"/>
      </w:pPr>
      <w:r>
        <w:t>[10] D. J. Hensman Moss et al., “Huntington’s Disease Blood and Brain Show a Common Gene Expression Pattern and Share an Immune Signature with Alzheimer’s Disease,” Sci. Rep., vol. 7, p. 44849, 2017.</w:t>
      </w:r>
    </w:p>
    <w:p w14:paraId="4B61F803" w14:textId="77777777" w:rsidR="008D713F" w:rsidRDefault="00000000">
      <w:pPr>
        <w:spacing w:before="60" w:after="60"/>
        <w:ind w:left="360" w:hanging="360"/>
        <w:jc w:val="both"/>
      </w:pPr>
      <w:r>
        <w:lastRenderedPageBreak/>
        <w:t>[11] Y. Dang et al., “FTH1- and SAT1-Induced Astrocytic Ferroptosis Is Involved in Alzheimer’s Disease,” Pharmaceuticals, vol. 15, p. 1177, 2022.</w:t>
      </w:r>
    </w:p>
    <w:p w14:paraId="08747651" w14:textId="77777777" w:rsidR="008D713F" w:rsidRDefault="00000000">
      <w:pPr>
        <w:spacing w:before="60" w:after="60"/>
        <w:ind w:left="360" w:hanging="360"/>
        <w:jc w:val="both"/>
      </w:pPr>
      <w:r>
        <w:t xml:space="preserve">[12] Y. Tian et al., “FTH1 Inhibits Ferroptosis Through </w:t>
      </w:r>
      <w:proofErr w:type="spellStart"/>
      <w:r>
        <w:t>Ferritinophagy</w:t>
      </w:r>
      <w:proofErr w:type="spellEnd"/>
      <w:r>
        <w:t xml:space="preserve"> in the 6-OHDA Model of Parkinson’s Disease,” Neurotherapeutics, vol. 17, pp. 1796–1812, 2020.</w:t>
      </w:r>
    </w:p>
    <w:p w14:paraId="76EBB220" w14:textId="77777777" w:rsidR="008D713F" w:rsidRDefault="00000000">
      <w:pPr>
        <w:spacing w:before="60" w:after="60"/>
        <w:ind w:left="360" w:hanging="360"/>
        <w:jc w:val="both"/>
      </w:pPr>
      <w:r>
        <w:t xml:space="preserve">[13] M. H. Jamal, M. </w:t>
      </w:r>
      <w:proofErr w:type="spellStart"/>
      <w:r>
        <w:t>Dhupar</w:t>
      </w:r>
      <w:proofErr w:type="spellEnd"/>
      <w:r>
        <w:t xml:space="preserve">, and K. R. Aran, “Exploring the Role of Ferroptosis Pathways in Huntington’s Disease,” Brain </w:t>
      </w:r>
      <w:proofErr w:type="spellStart"/>
      <w:r>
        <w:t>Disord</w:t>
      </w:r>
      <w:proofErr w:type="spellEnd"/>
      <w:r>
        <w:t>., vol. 18, p. 100207, 2025.</w:t>
      </w:r>
    </w:p>
    <w:p w14:paraId="4B1D7860" w14:textId="77777777" w:rsidR="008D713F" w:rsidRDefault="00000000">
      <w:pPr>
        <w:spacing w:before="60" w:after="60"/>
        <w:ind w:left="360" w:hanging="360"/>
        <w:jc w:val="both"/>
      </w:pPr>
      <w:r>
        <w:t xml:space="preserve">[14] J. R. Dias-Pinto, B. </w:t>
      </w:r>
      <w:proofErr w:type="spellStart"/>
      <w:r>
        <w:t>Faustinoni</w:t>
      </w:r>
      <w:proofErr w:type="spellEnd"/>
      <w:r>
        <w:t>-Neto, J. M. Sanches-Fernandes, I. Kerkis, and R. P. Araldi, “How Does the Age of Control Individuals Hinder the Identification of Target Genes for Huntington’s Disease?” Front. Genet., vol. 15, p. 1377237, 2024.</w:t>
      </w:r>
    </w:p>
    <w:p w14:paraId="449FD35E" w14:textId="77777777" w:rsidR="008D713F" w:rsidRDefault="00000000">
      <w:pPr>
        <w:spacing w:before="60" w:after="60"/>
        <w:ind w:left="360" w:hanging="360"/>
        <w:jc w:val="both"/>
      </w:pPr>
      <w:r>
        <w:t>[15] M. A. Andrade-Navarro et al., “RNA Sequencing of Human Peripheral Blood Cells Indicates Upregulation of Immune-Related Genes in Huntington’s Disease,” Front. Neurol., vol. 11, p. 573560, 2020.</w:t>
      </w:r>
    </w:p>
    <w:sectPr w:rsidR="008D7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F1AD6"/>
    <w:multiLevelType w:val="multilevel"/>
    <w:tmpl w:val="697C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6519D"/>
    <w:multiLevelType w:val="hybridMultilevel"/>
    <w:tmpl w:val="84C4C4FC"/>
    <w:lvl w:ilvl="0" w:tplc="83F0EDFA">
      <w:start w:val="1"/>
      <w:numFmt w:val="bullet"/>
      <w:lvlText w:val="•"/>
      <w:lvlJc w:val="left"/>
      <w:pPr>
        <w:ind w:left="720" w:hanging="360"/>
      </w:pPr>
    </w:lvl>
    <w:lvl w:ilvl="1" w:tplc="33C207A8">
      <w:numFmt w:val="decimal"/>
      <w:lvlText w:val=""/>
      <w:lvlJc w:val="left"/>
    </w:lvl>
    <w:lvl w:ilvl="2" w:tplc="24761B36">
      <w:numFmt w:val="decimal"/>
      <w:lvlText w:val=""/>
      <w:lvlJc w:val="left"/>
    </w:lvl>
    <w:lvl w:ilvl="3" w:tplc="27EE245A">
      <w:numFmt w:val="decimal"/>
      <w:lvlText w:val=""/>
      <w:lvlJc w:val="left"/>
    </w:lvl>
    <w:lvl w:ilvl="4" w:tplc="0A129F12">
      <w:numFmt w:val="decimal"/>
      <w:lvlText w:val=""/>
      <w:lvlJc w:val="left"/>
    </w:lvl>
    <w:lvl w:ilvl="5" w:tplc="F702D29E">
      <w:numFmt w:val="decimal"/>
      <w:lvlText w:val=""/>
      <w:lvlJc w:val="left"/>
    </w:lvl>
    <w:lvl w:ilvl="6" w:tplc="B0FA028C">
      <w:numFmt w:val="decimal"/>
      <w:lvlText w:val=""/>
      <w:lvlJc w:val="left"/>
    </w:lvl>
    <w:lvl w:ilvl="7" w:tplc="0218C014">
      <w:numFmt w:val="decimal"/>
      <w:lvlText w:val=""/>
      <w:lvlJc w:val="left"/>
    </w:lvl>
    <w:lvl w:ilvl="8" w:tplc="513E273E">
      <w:numFmt w:val="decimal"/>
      <w:lvlText w:val=""/>
      <w:lvlJc w:val="left"/>
    </w:lvl>
  </w:abstractNum>
  <w:abstractNum w:abstractNumId="2" w15:restartNumberingAfterBreak="0">
    <w:nsid w:val="359D039A"/>
    <w:multiLevelType w:val="hybridMultilevel"/>
    <w:tmpl w:val="93D4C220"/>
    <w:lvl w:ilvl="0" w:tplc="C122BB9E">
      <w:start w:val="1"/>
      <w:numFmt w:val="bullet"/>
      <w:lvlText w:val="●"/>
      <w:lvlJc w:val="left"/>
      <w:pPr>
        <w:ind w:left="720" w:hanging="360"/>
      </w:pPr>
    </w:lvl>
    <w:lvl w:ilvl="1" w:tplc="4120F9BA">
      <w:start w:val="1"/>
      <w:numFmt w:val="bullet"/>
      <w:lvlText w:val="○"/>
      <w:lvlJc w:val="left"/>
      <w:pPr>
        <w:ind w:left="1440" w:hanging="360"/>
      </w:pPr>
    </w:lvl>
    <w:lvl w:ilvl="2" w:tplc="05306F42">
      <w:start w:val="1"/>
      <w:numFmt w:val="bullet"/>
      <w:lvlText w:val="■"/>
      <w:lvlJc w:val="left"/>
      <w:pPr>
        <w:ind w:left="2160" w:hanging="360"/>
      </w:pPr>
    </w:lvl>
    <w:lvl w:ilvl="3" w:tplc="C900BB80">
      <w:start w:val="1"/>
      <w:numFmt w:val="bullet"/>
      <w:lvlText w:val="●"/>
      <w:lvlJc w:val="left"/>
      <w:pPr>
        <w:ind w:left="2880" w:hanging="360"/>
      </w:pPr>
    </w:lvl>
    <w:lvl w:ilvl="4" w:tplc="BD585246">
      <w:start w:val="1"/>
      <w:numFmt w:val="bullet"/>
      <w:lvlText w:val="○"/>
      <w:lvlJc w:val="left"/>
      <w:pPr>
        <w:ind w:left="3600" w:hanging="360"/>
      </w:pPr>
    </w:lvl>
    <w:lvl w:ilvl="5" w:tplc="DDC2095E">
      <w:start w:val="1"/>
      <w:numFmt w:val="bullet"/>
      <w:lvlText w:val="■"/>
      <w:lvlJc w:val="left"/>
      <w:pPr>
        <w:ind w:left="4320" w:hanging="360"/>
      </w:pPr>
    </w:lvl>
    <w:lvl w:ilvl="6" w:tplc="97AE56B6">
      <w:start w:val="1"/>
      <w:numFmt w:val="bullet"/>
      <w:lvlText w:val="●"/>
      <w:lvlJc w:val="left"/>
      <w:pPr>
        <w:ind w:left="5040" w:hanging="360"/>
      </w:pPr>
    </w:lvl>
    <w:lvl w:ilvl="7" w:tplc="05C80AAC">
      <w:start w:val="1"/>
      <w:numFmt w:val="bullet"/>
      <w:lvlText w:val="●"/>
      <w:lvlJc w:val="left"/>
      <w:pPr>
        <w:ind w:left="5760" w:hanging="360"/>
      </w:pPr>
    </w:lvl>
    <w:lvl w:ilvl="8" w:tplc="B4E08CFA">
      <w:start w:val="1"/>
      <w:numFmt w:val="bullet"/>
      <w:lvlText w:val="●"/>
      <w:lvlJc w:val="left"/>
      <w:pPr>
        <w:ind w:left="6480" w:hanging="360"/>
      </w:pPr>
    </w:lvl>
  </w:abstractNum>
  <w:num w:numId="1" w16cid:durableId="1808400564">
    <w:abstractNumId w:val="2"/>
    <w:lvlOverride w:ilvl="0">
      <w:startOverride w:val="1"/>
    </w:lvlOverride>
  </w:num>
  <w:num w:numId="2" w16cid:durableId="537427323">
    <w:abstractNumId w:val="1"/>
    <w:lvlOverride w:ilvl="0">
      <w:startOverride w:val="1"/>
    </w:lvlOverride>
  </w:num>
  <w:num w:numId="3" w16cid:durableId="81402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13F"/>
    <w:rsid w:val="002A7077"/>
    <w:rsid w:val="003A5073"/>
    <w:rsid w:val="007061E7"/>
    <w:rsid w:val="008D713F"/>
    <w:rsid w:val="008E39F4"/>
    <w:rsid w:val="00921DF8"/>
    <w:rsid w:val="00A106A4"/>
    <w:rsid w:val="00CD0A8B"/>
    <w:rsid w:val="00D52EA3"/>
    <w:rsid w:val="00DF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11FF7"/>
  <w15:docId w15:val="{C62661D6-5C6E-5A4D-8BFE-2D137D2AE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106A4"/>
    <w:rPr>
      <w:rFonts w:ascii="Calibri" w:eastAsia="Calibri" w:hAnsi="Calibri" w:cs="Calibri"/>
      <w:color w:val="1A1A1A"/>
      <w:sz w:val="19"/>
      <w:szCs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D0A8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5668</Words>
  <Characters>32312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Palaniappan Meiyappan</cp:lastModifiedBy>
  <cp:revision>2</cp:revision>
  <cp:lastPrinted>2026-04-14T18:27:00Z</cp:lastPrinted>
  <dcterms:created xsi:type="dcterms:W3CDTF">2026-04-14T18:34:00Z</dcterms:created>
  <dcterms:modified xsi:type="dcterms:W3CDTF">2026-04-14T18:34:00Z</dcterms:modified>
</cp:coreProperties>
</file>