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FD8" w:rsidRDefault="00A81FD8" w:rsidP="00A81FD8">
      <w:pPr>
        <w:widowControl w:val="0"/>
        <w:autoSpaceDE w:val="0"/>
        <w:autoSpaceDN w:val="0"/>
        <w:adjustRightInd w:val="0"/>
        <w:spacing w:before="120" w:after="120"/>
        <w:jc w:val="both"/>
        <w:rPr>
          <w:b/>
          <w:bCs/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t>Informace o bezpečnosti</w:t>
      </w:r>
    </w:p>
    <w:p w:rsidR="00A81FD8" w:rsidRDefault="00A81FD8" w:rsidP="00A81FD8">
      <w:pPr>
        <w:widowControl w:val="0"/>
        <w:autoSpaceDE w:val="0"/>
        <w:autoSpaceDN w:val="0"/>
        <w:adjustRightInd w:val="0"/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Zde naleznete stručné informace o tom, jak bezpečně nakupovat online. </w:t>
      </w:r>
    </w:p>
    <w:p w:rsidR="00A81FD8" w:rsidRDefault="00A81FD8" w:rsidP="00A81FD8">
      <w:pPr>
        <w:widowControl w:val="0"/>
        <w:autoSpaceDE w:val="0"/>
        <w:autoSpaceDN w:val="0"/>
        <w:adjustRightInd w:val="0"/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>Náš e-obchod nabízí svým zákazníkům prostřednictvím CIB banky možnost bezpečně platit bankovními kartami. Bezpečnost tohoto systému spočívá v oddělení dat. E-obchod obdrží od zákazníka informace o objednávce a CIB Banka obdrží pouze detaily bankovní karty, které jsou potřebné k pro</w:t>
      </w:r>
      <w:r w:rsidR="000D2838">
        <w:rPr>
          <w:sz w:val="22"/>
          <w:szCs w:val="22"/>
        </w:rPr>
        <w:t>vedení platby – na 256-bitové T</w:t>
      </w:r>
      <w:r>
        <w:rPr>
          <w:sz w:val="22"/>
          <w:szCs w:val="22"/>
        </w:rPr>
        <w:t>L</w:t>
      </w:r>
      <w:r w:rsidR="000D2838">
        <w:rPr>
          <w:sz w:val="22"/>
          <w:szCs w:val="22"/>
        </w:rPr>
        <w:t>S</w:t>
      </w:r>
      <w:r>
        <w:rPr>
          <w:sz w:val="22"/>
          <w:szCs w:val="22"/>
        </w:rPr>
        <w:t xml:space="preserve"> zašifrované platební stránce. E-obchod nedostává žádné informace týkající se platební části transakce; tyto údaje jsou dostupné pouze CIB Bance. Po provedení platby jste </w:t>
      </w:r>
      <w:r>
        <w:rPr>
          <w:color w:val="000000"/>
          <w:sz w:val="22"/>
          <w:szCs w:val="22"/>
        </w:rPr>
        <w:t>na stránkách e-obchodu informován o výsledku transakce</w:t>
      </w:r>
      <w:r>
        <w:rPr>
          <w:sz w:val="22"/>
          <w:szCs w:val="22"/>
        </w:rPr>
        <w:t>. Aby bylo možné provádět platby kartou, Váš internet</w:t>
      </w:r>
      <w:r w:rsidR="000D2838">
        <w:rPr>
          <w:sz w:val="22"/>
          <w:szCs w:val="22"/>
        </w:rPr>
        <w:t>ový prohlížeč musí podporovat T</w:t>
      </w:r>
      <w:r>
        <w:rPr>
          <w:sz w:val="22"/>
          <w:szCs w:val="22"/>
        </w:rPr>
        <w:t>L</w:t>
      </w:r>
      <w:r w:rsidR="000D2838">
        <w:rPr>
          <w:sz w:val="22"/>
          <w:szCs w:val="22"/>
        </w:rPr>
        <w:t>S</w:t>
      </w:r>
      <w:r>
        <w:rPr>
          <w:sz w:val="22"/>
          <w:szCs w:val="22"/>
        </w:rPr>
        <w:t xml:space="preserve"> šifrování.</w:t>
      </w:r>
    </w:p>
    <w:p w:rsidR="00A81FD8" w:rsidRDefault="00A81FD8" w:rsidP="00A81FD8">
      <w:pPr>
        <w:widowControl w:val="0"/>
        <w:autoSpaceDE w:val="0"/>
        <w:autoSpaceDN w:val="0"/>
        <w:adjustRightInd w:val="0"/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Cena zakoupeného zboží či </w:t>
      </w:r>
      <w:r>
        <w:rPr>
          <w:color w:val="000000"/>
          <w:sz w:val="22"/>
          <w:szCs w:val="22"/>
        </w:rPr>
        <w:t xml:space="preserve">služeb, to zn. zaplacená </w:t>
      </w:r>
      <w:r>
        <w:rPr>
          <w:sz w:val="22"/>
          <w:szCs w:val="22"/>
        </w:rPr>
        <w:t>částka, je okamžitě na Vašem účtu zablokována. Prosím přečtete si pozorně následující informace.</w:t>
      </w:r>
    </w:p>
    <w:p w:rsidR="00A81FD8" w:rsidRDefault="00A81FD8" w:rsidP="00A81FD8">
      <w:pPr>
        <w:widowControl w:val="0"/>
        <w:tabs>
          <w:tab w:val="left" w:pos="360"/>
        </w:tabs>
        <w:autoSpaceDE w:val="0"/>
        <w:autoSpaceDN w:val="0"/>
        <w:adjustRightInd w:val="0"/>
        <w:spacing w:before="120"/>
        <w:jc w:val="both"/>
        <w:rPr>
          <w:b/>
          <w:bCs/>
          <w:sz w:val="22"/>
          <w:szCs w:val="22"/>
        </w:rPr>
      </w:pPr>
    </w:p>
    <w:p w:rsidR="00A81FD8" w:rsidRDefault="00A81FD8" w:rsidP="00A81FD8">
      <w:pPr>
        <w:widowControl w:val="0"/>
        <w:tabs>
          <w:tab w:val="left" w:pos="360"/>
        </w:tabs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Vítejte do našeho e-obchodu, který využívá bezpečnostní systém online-plateb CIB Banky. </w:t>
      </w:r>
    </w:p>
    <w:p w:rsidR="00A81FD8" w:rsidRDefault="00A81FD8" w:rsidP="00A81FD8">
      <w:pPr>
        <w:widowControl w:val="0"/>
        <w:tabs>
          <w:tab w:val="left" w:pos="360"/>
        </w:tabs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Zde naleznete stručné informace o tom, jak bezpečně nakupovat on-line.</w:t>
      </w:r>
    </w:p>
    <w:p w:rsidR="00A81FD8" w:rsidRDefault="00A81FD8" w:rsidP="00A81FD8">
      <w:pPr>
        <w:widowControl w:val="0"/>
        <w:tabs>
          <w:tab w:val="left" w:pos="360"/>
        </w:tabs>
        <w:autoSpaceDE w:val="0"/>
        <w:autoSpaceDN w:val="0"/>
        <w:adjustRightInd w:val="0"/>
        <w:spacing w:before="1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 co si dát pozor, při nakupování online:</w:t>
      </w:r>
    </w:p>
    <w:p w:rsidR="00A81FD8" w:rsidRDefault="00A81FD8" w:rsidP="00A81FD8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120"/>
        <w:ind w:left="206" w:hanging="283"/>
        <w:jc w:val="both"/>
        <w:rPr>
          <w:sz w:val="22"/>
          <w:szCs w:val="22"/>
        </w:rPr>
      </w:pPr>
      <w:r>
        <w:rPr>
          <w:sz w:val="22"/>
          <w:szCs w:val="22"/>
        </w:rPr>
        <w:t>Přečtete si informační leták našeho e-obchodu, jakož i předběžné podmínky pro nákup, a také podmínky doručení a platby.</w:t>
      </w:r>
    </w:p>
    <w:p w:rsidR="00A81FD8" w:rsidRDefault="00A81FD8" w:rsidP="00A81FD8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120"/>
        <w:ind w:left="206" w:hanging="283"/>
        <w:jc w:val="both"/>
        <w:rPr>
          <w:sz w:val="22"/>
          <w:szCs w:val="22"/>
        </w:rPr>
      </w:pPr>
      <w:r>
        <w:rPr>
          <w:sz w:val="22"/>
          <w:szCs w:val="22"/>
        </w:rPr>
        <w:t>Prostudujte si bezpečnostní podmínky e-obchodu, které vám zajistí bezpečnost vašich údajů.</w:t>
      </w:r>
    </w:p>
    <w:p w:rsidR="00A81FD8" w:rsidRDefault="00A81FD8" w:rsidP="00A81FD8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120"/>
        <w:ind w:left="206" w:hanging="283"/>
        <w:jc w:val="both"/>
        <w:rPr>
          <w:sz w:val="22"/>
          <w:szCs w:val="22"/>
        </w:rPr>
      </w:pPr>
      <w:r>
        <w:rPr>
          <w:sz w:val="22"/>
          <w:szCs w:val="22"/>
        </w:rPr>
        <w:t>Uschovejte si údaje o vašem nákupu.</w:t>
      </w:r>
    </w:p>
    <w:p w:rsidR="00A81FD8" w:rsidRDefault="00A81FD8" w:rsidP="00A81FD8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before="120"/>
        <w:ind w:left="206" w:hanging="283"/>
        <w:jc w:val="both"/>
        <w:rPr>
          <w:sz w:val="22"/>
          <w:szCs w:val="22"/>
        </w:rPr>
      </w:pPr>
      <w:r>
        <w:rPr>
          <w:sz w:val="22"/>
          <w:szCs w:val="22"/>
        </w:rPr>
        <w:t>Uschovejte si záznam platebních údajů vaší transakce (identifikátor transakce, autorizační číslo).</w:t>
      </w:r>
    </w:p>
    <w:p w:rsidR="00A81FD8" w:rsidRDefault="00A81FD8" w:rsidP="00A81FD8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before="120"/>
        <w:ind w:left="206" w:hanging="283"/>
        <w:jc w:val="both"/>
        <w:rPr>
          <w:sz w:val="22"/>
          <w:szCs w:val="22"/>
        </w:rPr>
      </w:pPr>
      <w:r>
        <w:rPr>
          <w:sz w:val="22"/>
          <w:szCs w:val="22"/>
        </w:rPr>
        <w:t>Ujistěte se, že žádná nepovolaná osoba nemá přístup k důvěrným informacím vaší platební karty.</w:t>
      </w:r>
    </w:p>
    <w:p w:rsidR="00A81FD8" w:rsidRDefault="00A81FD8" w:rsidP="00A81FD8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before="120"/>
        <w:ind w:left="206" w:hanging="283"/>
        <w:jc w:val="both"/>
        <w:rPr>
          <w:sz w:val="22"/>
          <w:szCs w:val="22"/>
        </w:rPr>
      </w:pPr>
      <w:r>
        <w:rPr>
          <w:sz w:val="22"/>
          <w:szCs w:val="22"/>
        </w:rPr>
        <w:t>Použijte p</w:t>
      </w:r>
      <w:r w:rsidR="000D2838">
        <w:rPr>
          <w:sz w:val="22"/>
          <w:szCs w:val="22"/>
        </w:rPr>
        <w:t>rohlížeč, který podporuje T</w:t>
      </w:r>
      <w:r>
        <w:rPr>
          <w:sz w:val="22"/>
          <w:szCs w:val="22"/>
        </w:rPr>
        <w:t>L</w:t>
      </w:r>
      <w:r w:rsidR="000D2838">
        <w:rPr>
          <w:sz w:val="22"/>
          <w:szCs w:val="22"/>
        </w:rPr>
        <w:t>S</w:t>
      </w:r>
      <w:r>
        <w:rPr>
          <w:sz w:val="22"/>
          <w:szCs w:val="22"/>
        </w:rPr>
        <w:t xml:space="preserve"> šifrování.</w:t>
      </w:r>
    </w:p>
    <w:p w:rsidR="00A81FD8" w:rsidRDefault="00A81FD8" w:rsidP="00A81FD8">
      <w:pPr>
        <w:widowControl w:val="0"/>
        <w:tabs>
          <w:tab w:val="left" w:pos="360"/>
        </w:tabs>
        <w:autoSpaceDE w:val="0"/>
        <w:autoSpaceDN w:val="0"/>
        <w:adjustRightInd w:val="0"/>
        <w:spacing w:before="120"/>
        <w:jc w:val="both"/>
        <w:rPr>
          <w:b/>
          <w:bCs/>
          <w:sz w:val="22"/>
          <w:szCs w:val="22"/>
        </w:rPr>
      </w:pPr>
    </w:p>
    <w:p w:rsidR="00A81FD8" w:rsidRDefault="00A81FD8" w:rsidP="00A81FD8">
      <w:pPr>
        <w:widowControl w:val="0"/>
        <w:tabs>
          <w:tab w:val="left" w:pos="360"/>
        </w:tabs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O bezpečnosti</w:t>
      </w:r>
    </w:p>
    <w:p w:rsidR="00A81FD8" w:rsidRDefault="000D2838" w:rsidP="00A81FD8">
      <w:pPr>
        <w:widowControl w:val="0"/>
        <w:tabs>
          <w:tab w:val="left" w:pos="360"/>
        </w:tabs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3679F9">
        <w:rPr>
          <w:sz w:val="22"/>
          <w:szCs w:val="22"/>
        </w:rPr>
        <w:t>L</w:t>
      </w:r>
      <w:r>
        <w:rPr>
          <w:sz w:val="22"/>
          <w:szCs w:val="22"/>
        </w:rPr>
        <w:t>S</w:t>
      </w:r>
      <w:r w:rsidR="003679F9">
        <w:rPr>
          <w:sz w:val="22"/>
          <w:szCs w:val="22"/>
        </w:rPr>
        <w:t xml:space="preserve"> (</w:t>
      </w:r>
      <w:r w:rsidRPr="000D2838">
        <w:rPr>
          <w:sz w:val="22"/>
          <w:szCs w:val="22"/>
        </w:rPr>
        <w:t>Transport Layer Security</w:t>
      </w:r>
      <w:r w:rsidR="00A81FD8">
        <w:rPr>
          <w:sz w:val="22"/>
          <w:szCs w:val="22"/>
        </w:rPr>
        <w:t>, doslova vrstva bezpečných socketů) je široce uznávaný šifro</w:t>
      </w:r>
      <w:r>
        <w:rPr>
          <w:sz w:val="22"/>
          <w:szCs w:val="22"/>
        </w:rPr>
        <w:t>vací protokol. Naše banka má 256</w:t>
      </w:r>
      <w:r w:rsidR="00A81FD8">
        <w:rPr>
          <w:sz w:val="22"/>
          <w:szCs w:val="22"/>
        </w:rPr>
        <w:t>-bitový šifrovací klíč, který chrání komunikační kanál. Firma VeriSi</w:t>
      </w:r>
      <w:r>
        <w:rPr>
          <w:sz w:val="22"/>
          <w:szCs w:val="22"/>
        </w:rPr>
        <w:t>gn umožňuje CIB Bance použít 256</w:t>
      </w:r>
      <w:r w:rsidR="00A81FD8">
        <w:rPr>
          <w:sz w:val="22"/>
          <w:szCs w:val="22"/>
        </w:rPr>
        <w:t>-bitový klíč, který nám umožňuje pos</w:t>
      </w:r>
      <w:r>
        <w:rPr>
          <w:sz w:val="22"/>
          <w:szCs w:val="22"/>
        </w:rPr>
        <w:t>kytovat šifrování založené na T</w:t>
      </w:r>
      <w:r w:rsidR="00A81FD8">
        <w:rPr>
          <w:sz w:val="22"/>
          <w:szCs w:val="22"/>
        </w:rPr>
        <w:t>L</w:t>
      </w:r>
      <w:r>
        <w:rPr>
          <w:sz w:val="22"/>
          <w:szCs w:val="22"/>
        </w:rPr>
        <w:t>S</w:t>
      </w:r>
      <w:r w:rsidR="00A81FD8">
        <w:rPr>
          <w:sz w:val="22"/>
          <w:szCs w:val="22"/>
        </w:rPr>
        <w:t xml:space="preserve">. Tato šifrovací metoda se v součastné době používá v 90% všeho celosvětového elektronického </w:t>
      </w:r>
      <w:r>
        <w:rPr>
          <w:sz w:val="22"/>
          <w:szCs w:val="22"/>
        </w:rPr>
        <w:t>obchodování. Díky funkci T</w:t>
      </w:r>
      <w:r w:rsidR="00A81FD8" w:rsidRPr="001F59A6">
        <w:rPr>
          <w:sz w:val="22"/>
          <w:szCs w:val="22"/>
        </w:rPr>
        <w:t>L</w:t>
      </w:r>
      <w:r>
        <w:rPr>
          <w:sz w:val="22"/>
          <w:szCs w:val="22"/>
        </w:rPr>
        <w:t>S</w:t>
      </w:r>
      <w:r w:rsidR="00A81FD8" w:rsidRPr="001F59A6">
        <w:rPr>
          <w:sz w:val="22"/>
          <w:szCs w:val="22"/>
        </w:rPr>
        <w:t xml:space="preserve"> prohlížecí software zákazníka zašifruje před převodem údaje držitele karty. Údaje jsou tak do CIB banky zaslány zakódovanou formou, což zabezpečí, že nemohou</w:t>
      </w:r>
      <w:r w:rsidR="00A81FD8">
        <w:rPr>
          <w:sz w:val="22"/>
          <w:szCs w:val="22"/>
        </w:rPr>
        <w:t xml:space="preserve"> být rozluštěny nepovolanou osobou. </w:t>
      </w:r>
    </w:p>
    <w:p w:rsidR="00A81FD8" w:rsidRDefault="00A81FD8" w:rsidP="00A81FD8">
      <w:pPr>
        <w:keepNext/>
        <w:widowControl w:val="0"/>
        <w:autoSpaceDE w:val="0"/>
        <w:autoSpaceDN w:val="0"/>
        <w:adjustRightInd w:val="0"/>
        <w:spacing w:before="120" w:after="240"/>
        <w:jc w:val="both"/>
        <w:rPr>
          <w:b/>
          <w:bCs/>
          <w:sz w:val="22"/>
          <w:szCs w:val="22"/>
        </w:rPr>
      </w:pPr>
    </w:p>
    <w:p w:rsidR="00A81FD8" w:rsidRDefault="00A81FD8" w:rsidP="00A81FD8">
      <w:pPr>
        <w:keepNext/>
        <w:widowControl w:val="0"/>
        <w:autoSpaceDE w:val="0"/>
        <w:autoSpaceDN w:val="0"/>
        <w:adjustRightInd w:val="0"/>
        <w:spacing w:before="120" w:after="2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Platební karty, které přijímáme</w:t>
      </w:r>
    </w:p>
    <w:p w:rsidR="00A81FD8" w:rsidRDefault="00A81FD8" w:rsidP="00A81FD8">
      <w:pPr>
        <w:widowControl w:val="0"/>
        <w:autoSpaceDE w:val="0"/>
        <w:autoSpaceDN w:val="0"/>
        <w:adjustRightInd w:val="0"/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Online platební systém CIB Banky umožňuje použití platebních karet jako jsou </w:t>
      </w:r>
      <w:r w:rsidR="00E4396A">
        <w:rPr>
          <w:sz w:val="22"/>
          <w:szCs w:val="22"/>
        </w:rPr>
        <w:t>MasterCard/Maestro</w:t>
      </w:r>
      <w:r>
        <w:rPr>
          <w:sz w:val="22"/>
          <w:szCs w:val="22"/>
        </w:rPr>
        <w:t xml:space="preserve"> a VISA a VISA Electron (použití Visa Electron je podmíněné povolením z vystavující banky), stejně jako webové karty specificky určené pro online použití. </w:t>
      </w:r>
    </w:p>
    <w:p w:rsidR="00A81FD8" w:rsidRDefault="00A81FD8" w:rsidP="00A81FD8">
      <w:pPr>
        <w:keepNext/>
        <w:widowControl w:val="0"/>
        <w:autoSpaceDE w:val="0"/>
        <w:autoSpaceDN w:val="0"/>
        <w:adjustRightInd w:val="0"/>
        <w:spacing w:before="120" w:after="240"/>
        <w:jc w:val="both"/>
        <w:rPr>
          <w:b/>
          <w:bCs/>
          <w:sz w:val="22"/>
          <w:szCs w:val="22"/>
        </w:rPr>
      </w:pPr>
    </w:p>
    <w:p w:rsidR="00A81FD8" w:rsidRDefault="00A81FD8" w:rsidP="00A81FD8">
      <w:pPr>
        <w:keepNext/>
        <w:widowControl w:val="0"/>
        <w:autoSpaceDE w:val="0"/>
        <w:autoSpaceDN w:val="0"/>
        <w:adjustRightInd w:val="0"/>
        <w:spacing w:before="120" w:after="2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Postup platby:</w:t>
      </w:r>
    </w:p>
    <w:p w:rsidR="00A81FD8" w:rsidRDefault="00A81FD8" w:rsidP="00A81FD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>Na stránce e-obchodu si vyberte produkt nebo službu, za kterou hodláte zaplatit vaší kartou.</w:t>
      </w:r>
    </w:p>
    <w:p w:rsidR="00A81FD8" w:rsidRDefault="00A81FD8" w:rsidP="00A81FD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>Poté budete přesměrováni na bezpečnou platební stránku CIB Banky.</w:t>
      </w:r>
    </w:p>
    <w:p w:rsidR="00A81FD8" w:rsidRDefault="00A81FD8" w:rsidP="00A81FD8">
      <w:pPr>
        <w:widowControl w:val="0"/>
        <w:numPr>
          <w:ilvl w:val="0"/>
          <w:numId w:val="6"/>
        </w:numPr>
        <w:tabs>
          <w:tab w:val="left" w:pos="1788"/>
        </w:tabs>
        <w:autoSpaceDE w:val="0"/>
        <w:autoSpaceDN w:val="0"/>
        <w:adjustRightInd w:val="0"/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>Po vložení údajů zahájíte transakci kliknutím na ‘Platit’.</w:t>
      </w:r>
    </w:p>
    <w:p w:rsidR="00A81FD8" w:rsidRDefault="00A81FD8" w:rsidP="00A81FD8">
      <w:pPr>
        <w:widowControl w:val="0"/>
        <w:numPr>
          <w:ilvl w:val="0"/>
          <w:numId w:val="6"/>
        </w:numPr>
        <w:tabs>
          <w:tab w:val="left" w:pos="1788"/>
        </w:tabs>
        <w:autoSpaceDE w:val="0"/>
        <w:autoSpaceDN w:val="0"/>
        <w:adjustRightInd w:val="0"/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Po zaplacení budete přesměrován zpátky na stránky e-obchodu, kde obdržíte potvrzení o výsledku transakce.</w:t>
      </w:r>
    </w:p>
    <w:p w:rsidR="00A81FD8" w:rsidRDefault="00A81FD8" w:rsidP="00A81FD8">
      <w:pPr>
        <w:widowControl w:val="0"/>
        <w:autoSpaceDE w:val="0"/>
        <w:autoSpaceDN w:val="0"/>
        <w:adjustRightInd w:val="0"/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>Po úspěšné transakci platební kartou – což znamená schválení transakce po kontrole platnosti karty a dostupnosti peněžní částky potřebné ke koupi – CIB Banka odečte z účtu držitele karty protihodnotu (kupní cenu) produktu nebo služby.</w:t>
      </w:r>
    </w:p>
    <w:p w:rsidR="00A81FD8" w:rsidRDefault="00A81FD8" w:rsidP="00A81FD8">
      <w:pPr>
        <w:widowControl w:val="0"/>
        <w:autoSpaceDE w:val="0"/>
        <w:autoSpaceDN w:val="0"/>
        <w:adjustRightInd w:val="0"/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>Pokud z platební stránky nebudete přesměrován zpět na stránku e-obchodu, znamená to, že vaše transakce nebyla úspěšná. Pokud na platební stránce banky kliknete v prohlížeči na tlačítko "Zpět" nebo "Obnovit" nebo zavřete okno prohlížeče dříve než budete přesměrován do e-obchodu, vaše platba nebude úspěšná .</w:t>
      </w:r>
    </w:p>
    <w:p w:rsidR="00A81FD8" w:rsidRDefault="00A81FD8" w:rsidP="00A81FD8">
      <w:pPr>
        <w:widowControl w:val="0"/>
        <w:autoSpaceDE w:val="0"/>
        <w:autoSpaceDN w:val="0"/>
        <w:adjustRightInd w:val="0"/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>Pokud potřebujete více informací o výsledku některé transakce nebo chcete vědět, proč byla transakce neúspěšná, kontaktujte prosím svou banku.</w:t>
      </w:r>
    </w:p>
    <w:p w:rsidR="004859F0" w:rsidRDefault="004859F0"/>
    <w:sectPr w:rsidR="00485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9AC291C"/>
    <w:lvl w:ilvl="0">
      <w:numFmt w:val="bullet"/>
      <w:lvlText w:val="*"/>
      <w:lvlJc w:val="left"/>
    </w:lvl>
  </w:abstractNum>
  <w:abstractNum w:abstractNumId="1" w15:restartNumberingAfterBreak="0">
    <w:nsid w:val="43096CAA"/>
    <w:multiLevelType w:val="singleLevel"/>
    <w:tmpl w:val="DBBE85B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5E7D3A82"/>
    <w:multiLevelType w:val="hybridMultilevel"/>
    <w:tmpl w:val="7BFA8638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cs="Symbol" w:hint="default"/>
        </w:rPr>
      </w:lvl>
    </w:lvlOverride>
  </w:num>
  <w:num w:numId="2">
    <w:abstractNumId w:val="1"/>
  </w:num>
  <w:num w:numId="3">
    <w:abstractNumId w:val="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1FD8"/>
    <w:rsid w:val="0009487E"/>
    <w:rsid w:val="000D2838"/>
    <w:rsid w:val="003679F9"/>
    <w:rsid w:val="004859F0"/>
    <w:rsid w:val="00A81FD8"/>
    <w:rsid w:val="00B270D2"/>
    <w:rsid w:val="00E4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483AD-E0C8-41D6-B2C7-A520C41F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81FD8"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Informace o bezpečnosti</vt:lpstr>
    </vt:vector>
  </TitlesOfParts>
  <Company>CIB Bank Zrt.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Informace o bezpečnosti</dc:title>
  <dc:subject/>
  <dc:creator>Deák András</dc:creator>
  <cp:keywords/>
  <cp:lastModifiedBy>Tóth András Sándor</cp:lastModifiedBy>
  <cp:revision>2</cp:revision>
  <dcterms:created xsi:type="dcterms:W3CDTF">2016-10-20T08:33:00Z</dcterms:created>
  <dcterms:modified xsi:type="dcterms:W3CDTF">2016-10-20T08:33:00Z</dcterms:modified>
</cp:coreProperties>
</file>