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1647724" cy="10139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Armazenamento e gestão de jogos</w:t>
        <w:br w:type="textWrapping"/>
      </w:r>
    </w:p>
    <w:tbl>
      <w:tblPr>
        <w:tblStyle w:val="Table1"/>
        <w:tblW w:w="6835.0" w:type="dxa"/>
        <w:jc w:val="left"/>
        <w:tblInd w:w="170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5"/>
        <w:gridCol w:w="4850"/>
        <w:tblGridChange w:id="0">
          <w:tblGrid>
            <w:gridCol w:w="1985"/>
            <w:gridCol w:w="4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Miguel Marques 47204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Paulo Rosa 44873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485.0" w:type="dxa"/>
        <w:jc w:val="left"/>
        <w:tblInd w:w="212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59"/>
        <w:gridCol w:w="4926"/>
        <w:tblGridChange w:id="0">
          <w:tblGrid>
            <w:gridCol w:w="1559"/>
            <w:gridCol w:w="49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Afonso Remédios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Relatório da fase 1 realizado no âmbito de Sistemas de Informação,</w:t>
        <w:br w:type="textWrapping"/>
        <w:t xml:space="preserve">do curso de licenciatura em Engenharia Informática e de Computadores</w:t>
        <w:br w:type="textWrapping"/>
        <w:t xml:space="preserve">Semestre de Verão 2022/2023</w:t>
        <w:br w:type="textWrapping"/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Março de 2023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jc w:val="left"/>
        <w:rPr>
          <w:b w:val="1"/>
          <w:sz w:val="36"/>
          <w:szCs w:val="36"/>
        </w:rPr>
        <w:sectPr>
          <w:footerReference r:id="rId7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TODO —---------------------------------------------------- Breve descrição do projecto, dos resultados importantes e das conclusões: o objectivo é dar ao leitor uma visão global do projecto (não deve exceder uma página).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Palavras-chave:  </w:t>
      </w:r>
      <w:r w:rsidDel="00000000" w:rsidR="00000000" w:rsidRPr="00000000">
        <w:rPr>
          <w:rtl w:val="0"/>
        </w:rPr>
        <w:t xml:space="preserve">postgreSQL; Gestão; Jogos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Abstract text (1 page).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Keywords:</w:t>
      </w:r>
      <w:r w:rsidDel="00000000" w:rsidR="00000000" w:rsidRPr="00000000">
        <w:rPr>
          <w:rFonts w:ascii="CMBX10" w:cs="CMBX10" w:eastAsia="CMBX10" w:hAnsi="CMBX10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postgreSQL; Games; Management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40"/>
          <w:szCs w:val="40"/>
        </w:rPr>
      </w:pPr>
      <w:bookmarkStart w:colFirst="0" w:colLast="0" w:name="_2et92p0" w:id="3"/>
      <w:bookmarkEnd w:id="3"/>
      <w:r w:rsidDel="00000000" w:rsidR="00000000" w:rsidRPr="00000000">
        <w:rPr>
          <w:b w:val="1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Resumo</w:t>
              <w:tab/>
              <w:t xml:space="preserve">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Abstract</w:t>
              <w:tab/>
              <w:t xml:space="preserve">vii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Agradecimentos</w:t>
              <w:tab/>
              <w:t xml:space="preserve">ix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Figuras</w:t>
              <w:tab/>
              <w:t xml:space="preserve">xiii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Tabelas</w:t>
              <w:tab/>
              <w:t xml:space="preserve">xv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Nome da secção deste capítulo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A segunda secção deste capítulo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1.2.1 A primeira sub-secção desta secção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1.2.2 A segunda sub-secção desta secção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Organização do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Formulação do Problema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Nome da secção deste capítulo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Análise do problema - enumeração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 Outro problema - tabela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 Expressões matemáticas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 Figuras de grande dimensão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Solução Proposta - Grandes Ideias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Nome da primeira secção deste capítulo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A segunda secção deste capítulo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 A primeira sub-secção desta secção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 A segunda sub-secção desta secção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 Descrição detalhada da solução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Avaliação Experimental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Nome da primeira secção deste capítulo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 A segunda secção deste capítulo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4.2.1 A primeira sub-secção desta secção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4.2.2 A segunda sub-secção desta secção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 Análise de resultados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Conclusões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A.1 Diagramas da Aplicação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A.2 Modelos de dados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C">
      <w:pPr>
        <w:pStyle w:val="Heading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Lista de Figuras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1 - Legenda da figura com o logotipo do ISEL.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2 - Legenda da figura com o logotipo do ISEL – versão 2.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3 – Diagrama de casos de utilização.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Lista de Tabelas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Tabela 1 -Um exemplo de legenda de tabela. Prazos de entrega de Projecto e Seminário,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9">
      <w:pPr>
        <w:rPr/>
        <w:sectPr>
          <w:footerReference r:id="rId8" w:type="first"/>
          <w:type w:val="nextPage"/>
          <w:pgSz w:h="16838" w:w="11906" w:orient="portrait"/>
          <w:pgMar w:bottom="1417" w:top="1417" w:left="1701" w:right="1701" w:header="708" w:footer="708"/>
          <w:pgNumType w:start="3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Este é o início do capítulo.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Exemplo de indentação do segundo parágrafo.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1.1 Nome da secção deste capítulo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ddddd"/>
          <w:sz w:val="18"/>
          <w:szCs w:val="18"/>
          <w:u w:val="none"/>
          <w:shd w:fill="auto" w:val="clear"/>
          <w:vertAlign w:val="baseline"/>
          <w:rtl w:val="0"/>
        </w:rPr>
        <w:t xml:space="preserve">Texto da secção. 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sz w:val="20"/>
          <w:szCs w:val="20"/>
          <w:rtl w:val="0"/>
        </w:rPr>
        <w:t xml:space="preserve">Figura </w:t>
      </w: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  <w:t xml:space="preserve"> mostra-se o logotipo do ISEL. Em [1] encontra várias referências para o assunto. O artigo [2] é o mais popular conforme indicação do IEEE. Logo a seguir aparece [3]. A identificação das referências deve ser melhorada.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587481" cy="159229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7481" cy="1592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1 - Legenda da figura com o logotipo do ISEL.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Continuação do texto depois do parágrafo que refere a figura.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1.2 A segunda secção deste capítulo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Na segunda secção deste capítulo, vamos abordar o enquadramento, o contexto e as funcionalidades.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1.2.1 A primeira sub-secção desta secção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As sub-secções são úteis para mostrar determinados conteúdos de forma organizada. Contudo, o seu uso excessivo também não contribui para a facilidade de leitura do documento.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1.2.2 A segunda sub-secção desta secção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Esta é a segunda sub-secção desta secção, a qual termina aqui.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1.3 Organização do documento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 restante relatório encontra-se organizado da seguinte forma.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ksv4uv" w:id="14"/>
      <w:bookmarkEnd w:id="14"/>
      <w:r w:rsidDel="00000000" w:rsidR="00000000" w:rsidRPr="00000000">
        <w:rPr>
          <w:rtl w:val="0"/>
        </w:rPr>
        <w:t xml:space="preserve">Formulação do Problema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Estamos no início do novo capítulo. Aqui podemos colocar algum texto introdutório e de resumo do conteúdo do capítulo. Por exemplo, a secção 2.1 trata aspectos referentes às citações de bibliografia. Na secção 2.2 apresenta-se um exemplo de enumeração de conteúdos. O uso de tabelas é exemplificado na secção 2.3. Nas secções 2.4 e 2.5 abordam-se expressões matemáticas e o uso de figuras de grandes dimensões.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44sinio" w:id="15"/>
      <w:bookmarkEnd w:id="15"/>
      <w:r w:rsidDel="00000000" w:rsidR="00000000" w:rsidRPr="00000000">
        <w:rPr>
          <w:rtl w:val="0"/>
        </w:rPr>
        <w:t xml:space="preserve">2.1 Nome da secção deste capítulo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Agora o texto da secção. Em [1] encontra várias referências para o assunto. Segue-se a explicação das referências [4] e [5]. Exemplos de livros da área são [6] e [7].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Este segundo parágrafo é a continuação da secção.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1ci93x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Solução Proposta - Grandes Ideias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 nossa solução é apresentada neste capítulo. A solução consiste em grandes ideias, desenvolvidas e testadas. Exemplo de indentação do segundo parágrafo.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3whwml4" w:id="17"/>
      <w:bookmarkEnd w:id="17"/>
      <w:r w:rsidDel="00000000" w:rsidR="00000000" w:rsidRPr="00000000">
        <w:rPr>
          <w:rtl w:val="0"/>
        </w:rPr>
        <w:t xml:space="preserve">3.1 Nome da primeira secção deste capítulo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Texto da secção. Seguem-se exemplos de vários parágrafos.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Esta unidade curricular funciona no semestre de Verão de cada ano lectivo. Nos casos de impedimento prolongado justificado (designadamente por doença ou por motivos profissionais no caso dos trabalhadores-estudantes), poderá ser prolongada, havendo lugar à elaboração de outro relatório de progresso e a nova inscrição se o prolongamento for além do período de época especial desse semestre. A entrega da justificação e a sua apreciação deverão ocorrer antes do final do prazo estabelecido para a entrega final.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 estudante só poderá frequentar Projecto e Seminário se, em conjunto com as restantes unidades curriculares em que se inscreve nesse semestre isso corresponder, no máximo, a 42 créditos ECTS, tendo acumulado, pelo menos, 138 créditos. No caso de estudantes em regime de tempo parcial, o valor máximo está limitado a 30 créditos no ano lectivo. Não são admitidas inscrições como unidade curricular isolada.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Anualmente é divulgada a lista de ideias para projectos e respectivos orientadores. Os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jc w:val="left"/>
        <w:rPr>
          <w:b w:val="1"/>
          <w:sz w:val="40"/>
          <w:szCs w:val="40"/>
        </w:rPr>
      </w:pPr>
      <w:bookmarkStart w:colFirst="0" w:colLast="0" w:name="_49x2ik5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1hmsyys" w:id="19"/>
      <w:bookmarkEnd w:id="19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94.0" w:type="dxa"/>
        <w:jc w:val="left"/>
        <w:tblInd w:w="-15.0" w:type="dxa"/>
        <w:tblLayout w:type="fixed"/>
        <w:tblLook w:val="0400"/>
      </w:tblPr>
      <w:tblGrid>
        <w:gridCol w:w="332"/>
        <w:gridCol w:w="8262"/>
        <w:tblGridChange w:id="0">
          <w:tblGrid>
            <w:gridCol w:w="332"/>
            <w:gridCol w:w="8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[1] 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Wikipedia, “Big data --- Wikipedia, The Free Encyclopedia,” http://en.wikipedia.org/w/index.php?title=Big_data&amp;oldid=648786139, 2015.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footerReference r:id="rId9" w:type="first"/>
      <w:type w:val="nextPage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MBX10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