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54c65ede555488a" /><Relationship Type="http://schemas.openxmlformats.org/package/2006/relationships/metadata/core-properties" Target="/docProps/core.xml" Id="Ra944987e8938496e" /><Relationship Type="http://schemas.openxmlformats.org/officeDocument/2006/relationships/extended-properties" Target="/docProps/app.xml" Id="Ra39e75a9c079466d" /><Relationship Type="http://schemas.openxmlformats.org/officeDocument/2006/relationships/custom-properties" Target="/docProps/custom.xml" Id="Rb172ffc3f2fd403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FinGuard AI</w:t>
      </w:r>
    </w:p>
    <w:p w14:paraId="00100002" w14:textId="00100003">
      <w:pPr>
        <w:pStyle w:val="Normal"/>
        <w:spacing w:after="80"/>
        <w:jc w:val="center"/>
      </w:pPr>
      <w:r>
        <w:rPr>
          <w:sz w:val="28"/>
        </w:rPr>
        <w:t xml:space="preserve">Bank Credit &amp; Loan Default Risk Analytics Engine</w:t>
      </w:r>
    </w:p>
    <w:p w14:paraId="00100004" w14:textId="00100005">
      <w:pPr>
        <w:pStyle w:val="Normal"/>
        <w:spacing w:after="40"/>
        <w:jc w:val="center"/>
      </w:pPr>
      <w:r>
        <w:rPr>
          <w:sz w:val="22"/>
        </w:rPr>
        <w:t xml:space="preserve">IBM SkillsBuild Data Analytics with AI Academic Internship Program</w:t>
      </w:r>
    </w:p>
    <w:p w14:paraId="00100006" w14:textId="00100007">
      <w:pPr>
        <w:pStyle w:val="Normal"/>
        <w:spacing w:after="40"/>
        <w:jc w:val="center"/>
      </w:pPr>
      <w:r>
        <w:rPr>
          <w:sz w:val="22"/>
        </w:rPr>
        <w:t xml:space="preserve">BharatCares &amp; AICTE  |  Student: Prashant</w:t>
      </w:r>
    </w:p>
    <w:p w14:paraId="00100008" w14:textId="00100009">
      <w:pPr>
        <w:pStyle w:val="Normal"/>
        <w:spacing w:after="320"/>
        <w:jc w:val="center"/>
      </w:pPr>
      <w:r>
        <w:rPr>
          <w:color w:val="888888"/>
          <w:sz w:val="20"/>
        </w:rPr>
        <w:t xml:space="preserve">File: Prashant_ProjectReport.docx</w:t>
      </w:r>
    </w:p>
    <w:p w14:paraId="0010000A" w14:textId="0010000B">
      <w:pPr>
        <w:pStyle w:val="Heading1"/>
        <w:spacing w:after="120"/>
      </w:pPr>
      <w:r>
        <w:rPr>
          <w:b/>
          <w:sz w:val="32"/>
        </w:rPr>
        <w:t xml:space="preserve">Table of Contents</w:t>
      </w:r>
    </w:p>
    <w:p w14:paraId="0010000C" w14:textId="0010000D">
      <w:pPr>
        <w:pStyle w:val="Normal"/>
        <w:spacing w:after="40"/>
      </w:pPr>
      <w:r>
        <w:rPr>
          <w:sz w:val="22"/>
        </w:rPr>
        <w:t xml:space="preserve">1. Project Overview</w:t>
      </w:r>
    </w:p>
    <w:p w14:paraId="0010000E" w14:textId="0010000F">
      <w:pPr>
        <w:pStyle w:val="Normal"/>
        <w:spacing w:after="40"/>
      </w:pPr>
      <w:r>
        <w:rPr>
          <w:sz w:val="22"/>
        </w:rPr>
        <w:t xml:space="preserve">2. Problem Statement</w:t>
      </w:r>
    </w:p>
    <w:p w14:paraId="00100010" w14:textId="00100011">
      <w:pPr>
        <w:pStyle w:val="Normal"/>
        <w:spacing w:after="40"/>
      </w:pPr>
      <w:r>
        <w:rPr>
          <w:sz w:val="22"/>
        </w:rPr>
        <w:t xml:space="preserve">3. Dataset Description</w:t>
      </w:r>
    </w:p>
    <w:p w14:paraId="00100012" w14:textId="00100013">
      <w:pPr>
        <w:pStyle w:val="Normal"/>
        <w:spacing w:after="40"/>
      </w:pPr>
      <w:r>
        <w:rPr>
          <w:sz w:val="22"/>
        </w:rPr>
        <w:t xml:space="preserve">4. Technology Stack</w:t>
      </w:r>
    </w:p>
    <w:p w14:paraId="00100014" w14:textId="00100015">
      <w:pPr>
        <w:pStyle w:val="Normal"/>
        <w:spacing w:after="40"/>
      </w:pPr>
      <w:r>
        <w:rPr>
          <w:sz w:val="22"/>
        </w:rPr>
        <w:t xml:space="preserve">5. System Architecture</w:t>
      </w:r>
    </w:p>
    <w:p w14:paraId="00100016" w14:textId="00100017">
      <w:pPr>
        <w:pStyle w:val="Normal"/>
        <w:spacing w:after="40"/>
      </w:pPr>
      <w:r>
        <w:rPr>
          <w:sz w:val="22"/>
        </w:rPr>
        <w:t xml:space="preserve">6. Auto-Detection Engine</w:t>
      </w:r>
    </w:p>
    <w:p w14:paraId="00100018" w14:textId="00100019">
      <w:pPr>
        <w:pStyle w:val="Normal"/>
        <w:spacing w:after="40"/>
      </w:pPr>
      <w:r>
        <w:rPr>
          <w:sz w:val="22"/>
        </w:rPr>
        <w:t xml:space="preserve">7. Exploratory Data Analysis</w:t>
      </w:r>
    </w:p>
    <w:p w14:paraId="0010001A" w14:textId="0010001B">
      <w:pPr>
        <w:pStyle w:val="Normal"/>
        <w:spacing w:after="40"/>
      </w:pPr>
      <w:r>
        <w:rPr>
          <w:sz w:val="22"/>
        </w:rPr>
        <w:t xml:space="preserve">8. Machine Learning Pipeline</w:t>
      </w:r>
    </w:p>
    <w:p w14:paraId="0010001C" w14:textId="0010001D">
      <w:pPr>
        <w:pStyle w:val="Normal"/>
        <w:spacing w:after="40"/>
      </w:pPr>
      <w:r>
        <w:rPr>
          <w:sz w:val="22"/>
        </w:rPr>
        <w:t xml:space="preserve">9. Risk Prediction Engine</w:t>
      </w:r>
    </w:p>
    <w:p w14:paraId="0010001E" w14:textId="0010001F">
      <w:pPr>
        <w:pStyle w:val="Normal"/>
        <w:spacing w:after="40"/>
      </w:pPr>
      <w:r>
        <w:rPr>
          <w:sz w:val="22"/>
        </w:rPr>
        <w:t xml:space="preserve">10. IBM watsonx.ai Integration</w:t>
      </w:r>
    </w:p>
    <w:p w14:paraId="00100020" w14:textId="00100021">
      <w:pPr>
        <w:pStyle w:val="Normal"/>
        <w:spacing w:after="40"/>
      </w:pPr>
      <w:r>
        <w:rPr>
          <w:sz w:val="22"/>
        </w:rPr>
        <w:t xml:space="preserve">11. Application Features</w:t>
      </w:r>
    </w:p>
    <w:p w14:paraId="00100022" w14:textId="00100023">
      <w:pPr>
        <w:pStyle w:val="Normal"/>
        <w:spacing w:after="40"/>
      </w:pPr>
      <w:r>
        <w:rPr>
          <w:sz w:val="22"/>
        </w:rPr>
        <w:t xml:space="preserve">12. Results &amp; Evaluation</w:t>
      </w:r>
    </w:p>
    <w:p w14:paraId="00100024" w14:textId="00100025">
      <w:pPr>
        <w:pStyle w:val="Normal"/>
        <w:spacing w:after="40"/>
      </w:pPr>
      <w:r>
        <w:rPr>
          <w:sz w:val="22"/>
        </w:rPr>
        <w:t xml:space="preserve">13. Setup &amp; Deployment</w:t>
      </w:r>
    </w:p>
    <w:p w14:paraId="00100026" w14:textId="00100027">
      <w:pPr>
        <w:pStyle w:val="Normal"/>
        <w:spacing w:after="40"/>
      </w:pPr>
      <w:r>
        <w:rPr>
          <w:sz w:val="22"/>
        </w:rPr>
        <w:t xml:space="preserve">14. Conclusion</w:t>
      </w:r>
    </w:p>
    <w:p w14:paraId="00100028" w14:textId="00100029">
      <w:pPr>
        <w:pStyle w:val="Normal"/>
        <w:spacing w:after="320"/>
      </w:pPr>
      <w:r>
        <w:rPr>
          <w:sz w:val="22"/>
        </w:rPr>
        <w:t xml:space="preserve">15. References</w:t>
      </w:r>
    </w:p>
    <w:p w14:paraId="0010002A" w14:textId="0010002B">
      <w:pPr>
        <w:pStyle w:val="Heading1"/>
        <w:spacing w:before="240" w:after="120"/>
      </w:pPr>
      <w:r>
        <w:rPr>
          <w:b/>
          <w:sz w:val="32"/>
        </w:rPr>
        <w:t xml:space="preserve">1. Project Overview</w:t>
      </w:r>
    </w:p>
    <w:p w14:paraId="0010002C" w14:textId="0010002D">
      <w:pPr>
        <w:pStyle w:val="Normal"/>
        <w:spacing w:after="120"/>
      </w:pPr>
      <w:r>
        <w:rPr>
          <w:sz w:val="22"/>
        </w:rPr>
        <w:t xml:space="preserve">FinGuard AI is a production-ready, end-to-end credit risk analytics engine developed as the final academic project for the IBM SkillsBuild Data Analytics with AI Internship Program, conducted by BharatCares and approved by AICTE.</w:t>
      </w:r>
    </w:p>
    <w:p w14:paraId="0010002E" w14:textId="0010002F">
      <w:pPr>
        <w:pStyle w:val="Normal"/>
        <w:spacing w:after="120"/>
      </w:pPr>
      <w:r>
        <w:rPr>
          <w:sz w:val="22"/>
        </w:rPr>
        <w:t xml:space="preserve">The application addresses a critical real-world problem in the banking and financial services industry: accurately predicting whether a loan applicant will default on their credit obligations. By combining classical machine learning, interactive data visualisation, and IBM watsonx.ai generative AI, FinGuard AI provides a comprehensive decision-support platform for credit risk analysts and loan officers.</w:t>
      </w:r>
    </w:p>
    <w:p w14:paraId="00100030" w14:textId="00100031">
      <w:pPr>
        <w:pStyle w:val="Normal"/>
        <w:spacing w:after="80"/>
      </w:pPr>
      <w:r>
        <w:rPr>
          <w:b/>
          <w:sz w:val="22"/>
        </w:rPr>
        <w:t xml:space="preserve">Key highlights of this project:</w:t>
      </w:r>
    </w:p>
    <w:p w14:paraId="00100032" w14:textId="00100033">
      <w:pPr>
        <w:pStyle w:val="Normal"/>
        <w:numPr>
          <w:ilvl w:val="0"/>
          <w:numId w:val="1"/>
        </w:numPr>
        <w:spacing w:after="40"/>
      </w:pPr>
      <w:r>
        <w:rPr>
          <w:sz w:val="22"/>
        </w:rPr>
        <w:t xml:space="preserve">Dynamic column auto-detection — no hardcoded column names anywhere in the codebase</w:t>
      </w:r>
    </w:p>
    <w:p w14:paraId="00100034" w14:textId="00100035">
      <w:pPr>
        <w:pStyle w:val="Normal"/>
        <w:numPr>
          <w:ilvl w:val="0"/>
          <w:numId w:val="1"/>
        </w:numPr>
        <w:spacing w:after="40"/>
      </w:pPr>
      <w:r>
        <w:rPr>
          <w:sz w:val="22"/>
        </w:rPr>
        <w:t xml:space="preserve">Seven machine learning classifiers trained, evaluated, and compared in one pipeline</w:t>
      </w:r>
    </w:p>
    <w:p w14:paraId="00100036" w14:textId="00100037">
      <w:pPr>
        <w:pStyle w:val="Normal"/>
        <w:numPr>
          <w:ilvl w:val="0"/>
          <w:numId w:val="1"/>
        </w:numPr>
        <w:spacing w:after="40"/>
      </w:pPr>
      <w:r>
        <w:rPr>
          <w:sz w:val="22"/>
        </w:rPr>
        <w:t xml:space="preserve">Real-time risk prediction with five-tier risk classification</w:t>
      </w:r>
    </w:p>
    <w:p w14:paraId="00100038" w14:textId="00100039">
      <w:pPr>
        <w:pStyle w:val="Normal"/>
        <w:numPr>
          <w:ilvl w:val="0"/>
          <w:numId w:val="1"/>
        </w:numPr>
        <w:spacing w:after="40"/>
      </w:pPr>
      <w:r>
        <w:rPr>
          <w:sz w:val="22"/>
        </w:rPr>
        <w:t xml:space="preserve">IBM Granite foundation model integration for AI-powered risk narratives</w:t>
      </w:r>
    </w:p>
    <w:p w14:paraId="0010003A" w14:textId="0010003B">
      <w:pPr>
        <w:pStyle w:val="Normal"/>
        <w:numPr>
          <w:ilvl w:val="0"/>
          <w:numId w:val="1"/>
        </w:numPr>
        <w:spacing w:after="200"/>
      </w:pPr>
      <w:r>
        <w:rPr>
          <w:sz w:val="22"/>
        </w:rPr>
        <w:t xml:space="preserve">Professional multi-sheet Excel report export</w:t>
      </w:r>
    </w:p>
    <w:p w14:paraId="0010003C" w14:textId="0010003D">
      <w:pPr>
        <w:pStyle w:val="Heading1"/>
        <w:spacing w:before="240" w:after="120"/>
      </w:pPr>
      <w:r>
        <w:rPr>
          <w:b/>
          <w:sz w:val="32"/>
        </w:rPr>
        <w:t xml:space="preserve">2. Problem Statement</w:t>
      </w:r>
    </w:p>
    <w:p w14:paraId="0010003E" w14:textId="0010003F">
      <w:pPr>
        <w:pStyle w:val="Normal"/>
        <w:spacing w:after="120"/>
      </w:pPr>
      <w:r>
        <w:rPr>
          <w:sz w:val="22"/>
        </w:rPr>
        <w:t xml:space="preserve">Credit risk management is one of the most critical functions in banking and financial services. Loan defaults cause significant financial losses, threaten institutional stability, and have broad macroeconomic consequences. Traditional rule-based credit scoring systems often fail to capture complex, non-linear relationships between applicant attributes and default likelihood.</w:t>
      </w:r>
    </w:p>
    <w:p w14:paraId="00100040" w14:textId="00100041">
      <w:pPr>
        <w:pStyle w:val="Normal"/>
        <w:spacing w:after="80"/>
      </w:pPr>
      <w:r>
        <w:rPr>
          <w:sz w:val="22"/>
        </w:rPr>
        <w:t xml:space="preserve">The core challenge this project addresses is:</w:t>
      </w:r>
    </w:p>
    <w:p w14:paraId="00100042" w14:textId="00100043">
      <w:pPr>
        <w:pStyle w:val="Normal"/>
        <w:spacing w:after="120"/>
      </w:pPr>
      <w:r>
        <w:rPr>
          <w:i/>
          <w:sz w:val="22"/>
        </w:rPr>
        <w:t xml:space="preserve">Given a set of applicant and loan features, predict with high accuracy whether a borrower will default on a bank credit or loan obligation.</w:t>
      </w:r>
    </w:p>
    <w:p w14:paraId="00100044" w14:textId="00100045">
      <w:pPr>
        <w:pStyle w:val="Normal"/>
        <w:spacing w:after="200"/>
      </w:pPr>
      <w:r>
        <w:rPr>
          <w:sz w:val="22"/>
        </w:rPr>
        <w:t xml:space="preserve">Secondary challenges include handling class imbalance (defaults are typically rare events), interpreting model decisions for regulatory compliance, and building a system that adapts to any credit dataset structure automatically.</w:t>
      </w:r>
    </w:p>
    <w:p w14:paraId="00100046" w14:textId="00100047">
      <w:pPr>
        <w:pStyle w:val="Heading1"/>
        <w:spacing w:before="240" w:after="120"/>
      </w:pPr>
      <w:r>
        <w:rPr>
          <w:b/>
          <w:sz w:val="32"/>
        </w:rPr>
        <w:t xml:space="preserve">3. Dataset Description</w:t>
      </w:r>
    </w:p>
    <w:p w14:paraId="00100048" w14:textId="00100049">
      <w:pPr>
        <w:pStyle w:val="Normal"/>
        <w:spacing w:after="40"/>
      </w:pPr>
      <w:r>
        <w:rPr>
          <w:b/>
          <w:sz w:val="22"/>
        </w:rPr>
        <w:t xml:space="preserve">Dataset: Bank Credit Default — Loan Default Prediction</w:t>
      </w:r>
    </w:p>
    <w:p w14:paraId="0010004A" w14:textId="0010004B">
      <w:pPr>
        <w:pStyle w:val="Normal"/>
        <w:spacing w:after="40"/>
      </w:pPr>
      <w:r>
        <w:rPr>
          <w:sz w:val="22"/>
        </w:rPr>
        <w:t xml:space="preserve">Source: Kaggle — kornilovag94</w:t>
      </w:r>
    </w:p>
    <w:p w14:paraId="0010004C" w14:textId="0010004D">
      <w:pPr>
        <w:pStyle w:val="Normal"/>
        <w:spacing w:after="120"/>
      </w:pPr>
      <w:r>
        <w:rPr>
          <w:sz w:val="22"/>
        </w:rPr>
        <w:t xml:space="preserve">URL: https://www.kaggle.com/datasets/kornilovag94/bank-credit-default-loan-default</w:t>
      </w:r>
    </w:p>
    <w:p w14:paraId="0010004E" w14:textId="0010004F">
      <w:pPr>
        <w:pStyle w:val="Normal"/>
        <w:spacing w:after="120"/>
      </w:pPr>
      <w:r>
        <w:rPr>
          <w:sz w:val="22"/>
        </w:rPr>
        <w:t xml:space="preserve">The dataset contains records of bank customers and their loan/credit history, with a binary target variable indicating whether each applicant defaulted. The application automatically detects all column names, types, and the target variable at runtime — no assumptions are made about the schema in advance.</w:t>
      </w:r>
    </w:p>
    <w:p w14:paraId="00100050" w14:textId="00100051">
      <w:pPr>
        <w:pStyle w:val="Normal"/>
        <w:spacing w:after="80"/>
      </w:pPr>
      <w:r>
        <w:rPr>
          <w:b/>
          <w:sz w:val="22"/>
        </w:rPr>
        <w:t xml:space="preserve">Dataset Integrity Principle:</w:t>
      </w:r>
    </w:p>
    <w:p w14:paraId="00100052" w14:textId="00100053">
      <w:pPr>
        <w:pStyle w:val="Normal"/>
        <w:spacing w:after="200"/>
      </w:pPr>
      <w:r>
        <w:rPr>
          <w:sz w:val="22"/>
        </w:rPr>
        <w:t xml:space="preserve">This project does not fabricate, generate, or assume any dataset structure. All analysis, visualisations, and model training are performed exclusively on the actual Kaggle dataset uploaded by the user. If a feature is not present in the dataset, the application clearly indicates that the analysis is unavailable rather than fabricating results.</w:t>
      </w:r>
    </w:p>
    <w:p w14:paraId="00100054" w14:textId="00100055">
      <w:pPr>
        <w:pStyle w:val="Heading1"/>
        <w:spacing w:before="240" w:after="120"/>
      </w:pPr>
      <w:r>
        <w:rPr>
          <w:b/>
          <w:sz w:val="32"/>
        </w:rPr>
        <w:t xml:space="preserve">4. Technology Stack</w:t>
      </w:r>
    </w:p>
    <w:p w14:paraId="00100056" w14:textId="00100057">
      <w:pPr>
        <w:pStyle w:val="Normal"/>
        <w:spacing w:after="120"/>
      </w:pPr>
      <w:r>
        <w:rPr>
          <w:sz w:val="22"/>
        </w:rPr>
        <w:t xml:space="preserve">The following technologies were used to build FinGuard AI:</w:t>
      </w:r>
    </w:p>
    <w:p w14:paraId="00100058" w14:textId="00100059">
      <w:pPr>
        <w:pStyle w:val="Normal"/>
        <w:spacing w:after="80"/>
      </w:pPr>
      <w:r>
        <w:rPr>
          <w:b/>
          <w:sz w:val="22"/>
        </w:rPr>
        <w:t xml:space="preserve">Technology Stack Summary:</w:t>
      </w:r>
    </w:p>
    <w:p w14:paraId="0010005A" w14:textId="0010005B">
      <w:pPr>
        <w:pStyle w:val="Normal"/>
        <w:numPr>
          <w:ilvl w:val="0"/>
          <w:numId w:val="2"/>
        </w:numPr>
        <w:spacing w:after="40"/>
      </w:pPr>
      <w:r>
        <w:rPr>
          <w:sz w:val="22"/>
        </w:rPr>
        <w:t xml:space="preserve">Python (3.10+) — Core programming language</w:t>
      </w:r>
    </w:p>
    <w:p w14:paraId="0010005C" w14:textId="0010005D">
      <w:pPr>
        <w:pStyle w:val="Normal"/>
        <w:numPr>
          <w:ilvl w:val="0"/>
          <w:numId w:val="2"/>
        </w:numPr>
        <w:spacing w:after="40"/>
      </w:pPr>
      <w:r>
        <w:rPr>
          <w:sz w:val="22"/>
        </w:rPr>
        <w:t xml:space="preserve">Streamlit (&gt;=1.35.0) — Interactive web application framework</w:t>
      </w:r>
    </w:p>
    <w:p w14:paraId="0010005E" w14:textId="0010005F">
      <w:pPr>
        <w:pStyle w:val="Normal"/>
        <w:numPr>
          <w:ilvl w:val="0"/>
          <w:numId w:val="2"/>
        </w:numPr>
        <w:spacing w:after="40"/>
      </w:pPr>
      <w:r>
        <w:rPr>
          <w:sz w:val="22"/>
        </w:rPr>
        <w:t xml:space="preserve">Pandas (&gt;=2.0.0) / NumPy (&gt;=1.26.0) — Data manipulation and numerical computing</w:t>
      </w:r>
    </w:p>
    <w:p w14:paraId="00100060" w14:textId="00100061">
      <w:pPr>
        <w:pStyle w:val="Normal"/>
        <w:numPr>
          <w:ilvl w:val="0"/>
          <w:numId w:val="2"/>
        </w:numPr>
        <w:spacing w:after="40"/>
      </w:pPr>
      <w:r>
        <w:rPr>
          <w:sz w:val="22"/>
        </w:rPr>
        <w:t xml:space="preserve">Scikit-Learn (&gt;=1.4.0) — Machine learning algorithms and evaluation metrics</w:t>
      </w:r>
    </w:p>
    <w:p w14:paraId="00100062" w14:textId="00100063">
      <w:pPr>
        <w:pStyle w:val="Normal"/>
        <w:numPr>
          <w:ilvl w:val="0"/>
          <w:numId w:val="2"/>
        </w:numPr>
        <w:spacing w:after="40"/>
      </w:pPr>
      <w:r>
        <w:rPr>
          <w:sz w:val="22"/>
        </w:rPr>
        <w:t xml:space="preserve">XGBoost (&gt;=2.0.0) — Gradient boosted trees classifier</w:t>
      </w:r>
    </w:p>
    <w:p w14:paraId="00100064" w14:textId="00100065">
      <w:pPr>
        <w:pStyle w:val="Normal"/>
        <w:numPr>
          <w:ilvl w:val="0"/>
          <w:numId w:val="2"/>
        </w:numPr>
        <w:spacing w:after="40"/>
      </w:pPr>
      <w:r>
        <w:rPr>
          <w:sz w:val="22"/>
        </w:rPr>
        <w:t xml:space="preserve">Plotly (&gt;=5.20.0) — Interactive data visualisation</w:t>
      </w:r>
    </w:p>
    <w:p w14:paraId="00100066" w14:textId="00100067">
      <w:pPr>
        <w:pStyle w:val="Normal"/>
        <w:numPr>
          <w:ilvl w:val="0"/>
          <w:numId w:val="2"/>
        </w:numPr>
        <w:spacing w:after="40"/>
      </w:pPr>
      <w:r>
        <w:rPr>
          <w:sz w:val="22"/>
        </w:rPr>
        <w:t xml:space="preserve">OpenPyXL (&gt;=3.1.0) — Excel report generation</w:t>
      </w:r>
    </w:p>
    <w:p w14:paraId="00100068" w14:textId="00100069">
      <w:pPr>
        <w:pStyle w:val="Normal"/>
        <w:numPr>
          <w:ilvl w:val="0"/>
          <w:numId w:val="2"/>
        </w:numPr>
        <w:spacing w:after="200"/>
      </w:pPr>
      <w:r>
        <w:rPr>
          <w:sz w:val="22"/>
        </w:rPr>
        <w:t xml:space="preserve">IBM watsonx.ai SDK (&gt;=1.1.0) — Granite LLM for AI-powered insights</w:t>
      </w:r>
    </w:p>
    <w:p w14:paraId="0010006A" w14:textId="0010006B">
      <w:pPr>
        <w:pStyle w:val="Heading1"/>
        <w:spacing w:before="240" w:after="120"/>
      </w:pPr>
      <w:r>
        <w:rPr>
          <w:b/>
          <w:sz w:val="32"/>
        </w:rPr>
        <w:t xml:space="preserve">5. System Architecture</w:t>
      </w:r>
    </w:p>
    <w:p w14:paraId="0010006C" w14:textId="0010006D">
      <w:pPr>
        <w:pStyle w:val="Normal"/>
        <w:spacing w:after="120"/>
      </w:pPr>
      <w:r>
        <w:rPr>
          <w:sz w:val="22"/>
        </w:rPr>
        <w:t xml:space="preserve">FinGuard AI follows a modular, layered architecture with clear separation of concerns:</w:t>
      </w:r>
    </w:p>
    <w:p w14:paraId="0010006E" w14:textId="0010006F">
      <w:pPr>
        <w:pStyle w:val="Normal"/>
        <w:spacing w:after="40"/>
      </w:pPr>
      <w:r>
        <w:rPr>
          <w:b/>
          <w:sz w:val="22"/>
        </w:rPr>
        <w:t xml:space="preserve">app.py — Presentation Layer</w:t>
      </w:r>
    </w:p>
    <w:p w14:paraId="00100070" w14:textId="00100071">
      <w:pPr>
        <w:pStyle w:val="Normal"/>
        <w:spacing w:after="120"/>
      </w:pPr>
      <w:r>
        <w:rPr>
          <w:sz w:val="22"/>
        </w:rPr>
        <w:t xml:space="preserve">The main Streamlit application. Handles all UI rendering, sidebar controls, session state management, and coordinates calls to the utility modules. Organised into 7 navigation tabs.</w:t>
      </w:r>
    </w:p>
    <w:p w14:paraId="00100072" w14:textId="00100073">
      <w:pPr>
        <w:pStyle w:val="Normal"/>
        <w:spacing w:after="40"/>
      </w:pPr>
      <w:r>
        <w:rPr>
          <w:b/>
          <w:sz w:val="22"/>
        </w:rPr>
        <w:t xml:space="preserve">utils/data_loader.py — Data Intelligence Layer</w:t>
      </w:r>
    </w:p>
    <w:p w14:paraId="00100074" w14:textId="00100075">
      <w:pPr>
        <w:pStyle w:val="Normal"/>
        <w:spacing w:after="120"/>
      </w:pPr>
      <w:r>
        <w:rPr>
          <w:sz w:val="22"/>
        </w:rPr>
        <w:t xml:space="preserve">Auto-detection engine that profiles any uploaded dataset dynamically. Detects column types, target variable, ID columns, missing values, class distribution, and derivable features — all without any hardcoded column names.</w:t>
      </w:r>
    </w:p>
    <w:p w14:paraId="00100076" w14:textId="00100077">
      <w:pPr>
        <w:pStyle w:val="Normal"/>
        <w:spacing w:after="40"/>
      </w:pPr>
      <w:r>
        <w:rPr>
          <w:b/>
          <w:sz w:val="22"/>
        </w:rPr>
        <w:t xml:space="preserve">utils/eda.py — Analytics Layer</w:t>
      </w:r>
    </w:p>
    <w:p w14:paraId="00100078" w14:textId="00100079">
      <w:pPr>
        <w:pStyle w:val="Normal"/>
        <w:spacing w:after="120"/>
      </w:pPr>
      <w:r>
        <w:rPr>
          <w:sz w:val="22"/>
        </w:rPr>
        <w:t xml:space="preserve">Provides all EDA visualisations and statistical summaries: histograms, correlation heatmaps, box plots, scatter matrices, outlier analysis, and class imbalance metrics. All charts are driven by the DataProfile object.</w:t>
      </w:r>
    </w:p>
    <w:p w14:paraId="0010007A" w14:textId="0010007B">
      <w:pPr>
        <w:pStyle w:val="Normal"/>
        <w:spacing w:after="40"/>
      </w:pPr>
      <w:r>
        <w:rPr>
          <w:b/>
          <w:sz w:val="22"/>
        </w:rPr>
        <w:t xml:space="preserve">utils/model_engine.py — Machine Learning Layer</w:t>
      </w:r>
    </w:p>
    <w:p w14:paraId="0010007C" w14:textId="0010007D">
      <w:pPr>
        <w:pStyle w:val="Normal"/>
        <w:spacing w:after="120"/>
      </w:pPr>
      <w:r>
        <w:rPr>
          <w:sz w:val="22"/>
        </w:rPr>
        <w:t xml:space="preserve">Trains 7 classifiers with stratified cross-validation, evaluates all metrics, selects the best model, and provides real-time prediction. Handles class imbalance via class_weight='balanced' and XGBoost's scale_pos_weight.</w:t>
      </w:r>
    </w:p>
    <w:p w14:paraId="0010007E" w14:textId="0010007F">
      <w:pPr>
        <w:pStyle w:val="Normal"/>
        <w:spacing w:after="40"/>
      </w:pPr>
      <w:r>
        <w:rPr>
          <w:b/>
          <w:sz w:val="22"/>
        </w:rPr>
        <w:t xml:space="preserve">utils/watsonx_client.py — AI Integration Layer</w:t>
      </w:r>
    </w:p>
    <w:p w14:paraId="00100080" w14:textId="00100081">
      <w:pPr>
        <w:pStyle w:val="Normal"/>
        <w:spacing w:after="120"/>
      </w:pPr>
      <w:r>
        <w:rPr>
          <w:sz w:val="22"/>
        </w:rPr>
        <w:t xml:space="preserve">Wraps the IBM watsonx.ai Python SDK with purpose-built prompt engineering for three use cases: individual risk explanation, EDA insights, and model performance commentary using IBM Granite-13B-Instruct.</w:t>
      </w:r>
    </w:p>
    <w:p w14:paraId="00100082" w14:textId="00100083">
      <w:pPr>
        <w:pStyle w:val="Normal"/>
        <w:spacing w:after="40"/>
      </w:pPr>
      <w:r>
        <w:rPr>
          <w:b/>
          <w:sz w:val="22"/>
        </w:rPr>
        <w:t xml:space="preserve">utils/report_generator.py — Export Layer</w:t>
      </w:r>
    </w:p>
    <w:p w14:paraId="00100084" w14:textId="00100085">
      <w:pPr>
        <w:pStyle w:val="Normal"/>
        <w:spacing w:after="200"/>
      </w:pPr>
      <w:r>
        <w:rPr>
          <w:sz w:val="22"/>
        </w:rPr>
        <w:t xml:space="preserve">Generates a professionally styled 7-sheet Excel workbook using openpyxl with custom colours, borders, and conditional formatting. Sheets: Executive Summary, Dataset Overview, Data Profile, Class Distribution, Missing Values, Model Results, Feature Importance.</w:t>
      </w:r>
    </w:p>
    <w:p w14:paraId="00100086" w14:textId="00100087">
      <w:pPr>
        <w:pStyle w:val="Heading1"/>
        <w:spacing w:before="240" w:after="120"/>
      </w:pPr>
      <w:r>
        <w:rPr>
          <w:b/>
          <w:sz w:val="32"/>
        </w:rPr>
        <w:t xml:space="preserve">6. Auto-Detection Engine</w:t>
      </w:r>
    </w:p>
    <w:p w14:paraId="00100088" w14:textId="00100089">
      <w:pPr>
        <w:pStyle w:val="Normal"/>
        <w:spacing w:after="120"/>
      </w:pPr>
      <w:r>
        <w:rPr>
          <w:sz w:val="22"/>
        </w:rPr>
        <w:t xml:space="preserve">The core innovation of FinGuard AI is its auto-detection engine, implemented in utils/data_loader.py. Unlike conventional ML applications that require hardcoded column names, FinGuard AI adapts to any credit/loan dataset automatically.</w:t>
      </w:r>
    </w:p>
    <w:p w14:paraId="0010008A" w14:textId="0010008B">
      <w:pPr>
        <w:pStyle w:val="Normal"/>
        <w:spacing w:after="80"/>
      </w:pPr>
      <w:r>
        <w:rPr>
          <w:b/>
          <w:sz w:val="22"/>
        </w:rPr>
        <w:t xml:space="preserve">Target Variable Detection:</w:t>
      </w:r>
    </w:p>
    <w:p w14:paraId="0010008C" w14:textId="0010008D">
      <w:pPr>
        <w:pStyle w:val="Normal"/>
        <w:spacing w:after="120"/>
      </w:pPr>
      <w:r>
        <w:rPr>
          <w:sz w:val="22"/>
        </w:rPr>
        <w:t xml:space="preserve">The _detect_target() function uses a keyword list (default, defaulted, loan_default, credit_default, bad_loan, status, target, label, outcome, etc.) with three escalating strategies: exact keyword match, substring match, and fallback to binary 0/1 numeric columns.</w:t>
      </w:r>
    </w:p>
    <w:p w14:paraId="0010008E" w14:textId="0010008F">
      <w:pPr>
        <w:pStyle w:val="Normal"/>
        <w:spacing w:after="80"/>
      </w:pPr>
      <w:r>
        <w:rPr>
          <w:b/>
          <w:sz w:val="22"/>
        </w:rPr>
        <w:t xml:space="preserve">Column Classification:</w:t>
      </w:r>
    </w:p>
    <w:p w14:paraId="00100090" w14:textId="00100091">
      <w:pPr>
        <w:pStyle w:val="Normal"/>
        <w:spacing w:after="120"/>
      </w:pPr>
      <w:r>
        <w:rPr>
          <w:sz w:val="22"/>
        </w:rPr>
        <w:t xml:space="preserve">Every column is classified as: Numeric, Categorical, Binary, Datetime, Target, or Identifier. High-cardinality categoricals (&gt;50 unique values) are flagged separately. ID columns are detected by name keywords (id, uid, customer_id, loan_id, etc.).</w:t>
      </w:r>
    </w:p>
    <w:p w14:paraId="00100092" w14:textId="00100093">
      <w:pPr>
        <w:pStyle w:val="Normal"/>
        <w:spacing w:after="80"/>
      </w:pPr>
      <w:r>
        <w:rPr>
          <w:b/>
          <w:sz w:val="22"/>
        </w:rPr>
        <w:t xml:space="preserve">Derived Feature Detection:</w:t>
      </w:r>
    </w:p>
    <w:p w14:paraId="00100094" w14:textId="00100095">
      <w:pPr>
        <w:pStyle w:val="Normal"/>
        <w:spacing w:after="200"/>
      </w:pPr>
      <w:r>
        <w:rPr>
          <w:sz w:val="22"/>
        </w:rPr>
        <w:t xml:space="preserve">The engine checks whether common financial ratios can be calculated from existing columns: Debt-to-Income Ratio, Loan-to-Value Ratio, and Credit Utilisation. It only reports these as available if the constituent columns exist — never fabricates them.</w:t>
      </w:r>
    </w:p>
    <w:p w14:paraId="00100096" w14:textId="00100097">
      <w:pPr>
        <w:pStyle w:val="Heading1"/>
        <w:spacing w:before="240" w:after="120"/>
      </w:pPr>
      <w:r>
        <w:rPr>
          <w:b/>
          <w:sz w:val="32"/>
        </w:rPr>
        <w:t xml:space="preserve">7. Exploratory Data Analysis</w:t>
      </w:r>
    </w:p>
    <w:p w14:paraId="00100098" w14:textId="00100099">
      <w:pPr>
        <w:pStyle w:val="Normal"/>
        <w:spacing w:after="120"/>
      </w:pPr>
      <w:r>
        <w:rPr>
          <w:sz w:val="22"/>
        </w:rPr>
        <w:t xml:space="preserve">FinGuard AI provides a comprehensive 8-panel EDA suite implemented in utils/eda.py. All visualisations are driven by the DataProfile object and adapt to the actual columns present in the dataset.</w:t>
      </w:r>
    </w:p>
    <w:p w14:paraId="0010009A" w14:textId="0010009B">
      <w:pPr>
        <w:pStyle w:val="Normal"/>
        <w:spacing w:after="80"/>
      </w:pPr>
      <w:r>
        <w:rPr>
          <w:b/>
          <w:sz w:val="22"/>
        </w:rPr>
        <w:t xml:space="preserve">EDA Panels:</w:t>
      </w:r>
    </w:p>
    <w:p w14:paraId="0010009C" w14:textId="0010009D">
      <w:pPr>
        <w:pStyle w:val="Normal"/>
        <w:numPr>
          <w:ilvl w:val="0"/>
          <w:numId w:val="3"/>
        </w:numPr>
        <w:spacing w:after="40"/>
      </w:pPr>
      <w:r>
        <w:rPr>
          <w:sz w:val="22"/>
        </w:rPr>
        <w:t xml:space="preserve">Target Distribution — Bar chart and pie chart showing class counts and proportions, with automatic imbalance ratio calculation and severity assessment (Balanced / Moderate / Severe).</w:t>
      </w:r>
    </w:p>
    <w:p w14:paraId="0010009E" w14:textId="0010009F">
      <w:pPr>
        <w:pStyle w:val="Normal"/>
        <w:numPr>
          <w:ilvl w:val="0"/>
          <w:numId w:val="3"/>
        </w:numPr>
        <w:spacing w:after="40"/>
      </w:pPr>
      <w:r>
        <w:rPr>
          <w:sz w:val="22"/>
        </w:rPr>
        <w:t xml:space="preserve">Numeric Distributions — Grid of histograms for all numeric features, automatically scaled to the number of columns present.</w:t>
      </w:r>
    </w:p>
    <w:p w14:paraId="001000A0" w14:textId="001000A1">
      <w:pPr>
        <w:pStyle w:val="Normal"/>
        <w:numPr>
          <w:ilvl w:val="0"/>
          <w:numId w:val="3"/>
        </w:numPr>
        <w:spacing w:after="40"/>
      </w:pPr>
      <w:r>
        <w:rPr>
          <w:sz w:val="22"/>
        </w:rPr>
        <w:t xml:space="preserve">Categorical Distributions — Bar charts for all categorical features (top 10 values), with high-cardinality columns excluded and flagged.</w:t>
      </w:r>
    </w:p>
    <w:p w14:paraId="001000A2" w14:textId="001000A3">
      <w:pPr>
        <w:pStyle w:val="Normal"/>
        <w:numPr>
          <w:ilvl w:val="0"/>
          <w:numId w:val="3"/>
        </w:numPr>
        <w:spacing w:after="40"/>
      </w:pPr>
      <w:r>
        <w:rPr>
          <w:sz w:val="22"/>
        </w:rPr>
        <w:t xml:space="preserve">Correlation Heatmap — Lower-triangle Pearson correlation matrix for up to 20 numeric features, with diverging red-white-blue colorscale.</w:t>
      </w:r>
    </w:p>
    <w:p w14:paraId="001000A4" w14:textId="001000A5">
      <w:pPr>
        <w:pStyle w:val="Normal"/>
        <w:numPr>
          <w:ilvl w:val="0"/>
          <w:numId w:val="3"/>
        </w:numPr>
        <w:spacing w:after="40"/>
      </w:pPr>
      <w:r>
        <w:rPr>
          <w:sz w:val="22"/>
        </w:rPr>
        <w:t xml:space="preserve">Box Plots by Target Class — Box plots of numeric features split by target class, enabling visual separation analysis.</w:t>
      </w:r>
    </w:p>
    <w:p w14:paraId="001000A6" w14:textId="001000A7">
      <w:pPr>
        <w:pStyle w:val="Normal"/>
        <w:numPr>
          <w:ilvl w:val="0"/>
          <w:numId w:val="3"/>
        </w:numPr>
        <w:spacing w:after="40"/>
      </w:pPr>
      <w:r>
        <w:rPr>
          <w:sz w:val="22"/>
        </w:rPr>
        <w:t xml:space="preserve">Scatter Matrix — Pair-plot for up to 5 numeric features coloured by target class.</w:t>
      </w:r>
    </w:p>
    <w:p w14:paraId="001000A8" w14:textId="001000A9">
      <w:pPr>
        <w:pStyle w:val="Normal"/>
        <w:numPr>
          <w:ilvl w:val="0"/>
          <w:numId w:val="3"/>
        </w:numPr>
        <w:spacing w:after="40"/>
      </w:pPr>
      <w:r>
        <w:rPr>
          <w:sz w:val="22"/>
        </w:rPr>
        <w:t xml:space="preserve">Missing Values — Horizontal bar chart of missing value percentages per column with colour-coded severity.</w:t>
      </w:r>
    </w:p>
    <w:p w14:paraId="001000AA" w14:textId="001000AB">
      <w:pPr>
        <w:pStyle w:val="Normal"/>
        <w:numPr>
          <w:ilvl w:val="0"/>
          <w:numId w:val="3"/>
        </w:numPr>
        <w:spacing w:after="200"/>
      </w:pPr>
      <w:r>
        <w:rPr>
          <w:sz w:val="22"/>
        </w:rPr>
        <w:t xml:space="preserve">Outlier Analysis — IQR-based outlier detection table showing Q1, Q3, fences, outlier count, and percentage per feature.</w:t>
      </w:r>
    </w:p>
    <w:p w14:paraId="001000AC" w14:textId="001000AD">
      <w:pPr>
        <w:pStyle w:val="Heading1"/>
        <w:spacing w:before="240" w:after="120"/>
      </w:pPr>
      <w:r>
        <w:rPr>
          <w:b/>
          <w:sz w:val="32"/>
        </w:rPr>
        <w:t xml:space="preserve">8. Machine Learning Pipeline</w:t>
      </w:r>
    </w:p>
    <w:p w14:paraId="001000AE" w14:textId="001000AF">
      <w:pPr>
        <w:pStyle w:val="Normal"/>
        <w:spacing w:after="120"/>
      </w:pPr>
      <w:r>
        <w:rPr>
          <w:sz w:val="22"/>
        </w:rPr>
        <w:t xml:space="preserve">The ML pipeline in utils/model_engine.py trains seven classifiers in a single pass with stratified cross-validation.</w:t>
      </w:r>
    </w:p>
    <w:p w14:paraId="001000B0" w14:textId="001000B1">
      <w:pPr>
        <w:pStyle w:val="Normal"/>
        <w:spacing w:after="80"/>
      </w:pPr>
      <w:r>
        <w:rPr>
          <w:b/>
          <w:sz w:val="22"/>
        </w:rPr>
        <w:t xml:space="preserve">Classifiers Implemented:</w:t>
      </w:r>
    </w:p>
    <w:p w14:paraId="001000B2" w14:textId="001000B3">
      <w:pPr>
        <w:pStyle w:val="Normal"/>
        <w:numPr>
          <w:ilvl w:val="0"/>
          <w:numId w:val="4"/>
        </w:numPr>
        <w:spacing w:after="40"/>
      </w:pPr>
      <w:r>
        <w:rPr>
          <w:sz w:val="22"/>
        </w:rPr>
        <w:t xml:space="preserve">1. Logistic Regression — Linear baseline with class_weight='balanced'</w:t>
      </w:r>
    </w:p>
    <w:p w14:paraId="001000B4" w14:textId="001000B5">
      <w:pPr>
        <w:pStyle w:val="Normal"/>
        <w:numPr>
          <w:ilvl w:val="0"/>
          <w:numId w:val="4"/>
        </w:numPr>
        <w:spacing w:after="40"/>
      </w:pPr>
      <w:r>
        <w:rPr>
          <w:sz w:val="22"/>
        </w:rPr>
        <w:t xml:space="preserve">2. Decision Tree — Depth-limited tree with class_weight='balanced'</w:t>
      </w:r>
    </w:p>
    <w:p w14:paraId="001000B6" w14:textId="001000B7">
      <w:pPr>
        <w:pStyle w:val="Normal"/>
        <w:numPr>
          <w:ilvl w:val="0"/>
          <w:numId w:val="4"/>
        </w:numPr>
        <w:spacing w:after="40"/>
      </w:pPr>
      <w:r>
        <w:rPr>
          <w:sz w:val="22"/>
        </w:rPr>
        <w:t xml:space="preserve">3. Random Forest — 200-estimator ensemble with class_weight='balanced'</w:t>
      </w:r>
    </w:p>
    <w:p w14:paraId="001000B8" w14:textId="001000B9">
      <w:pPr>
        <w:pStyle w:val="Normal"/>
        <w:numPr>
          <w:ilvl w:val="0"/>
          <w:numId w:val="4"/>
        </w:numPr>
        <w:spacing w:after="40"/>
      </w:pPr>
      <w:r>
        <w:rPr>
          <w:sz w:val="22"/>
        </w:rPr>
        <w:t xml:space="preserve">4. Gradient Boosting — Sequential boosting with 200 estimators</w:t>
      </w:r>
    </w:p>
    <w:p w14:paraId="001000BA" w14:textId="001000BB">
      <w:pPr>
        <w:pStyle w:val="Normal"/>
        <w:numPr>
          <w:ilvl w:val="0"/>
          <w:numId w:val="4"/>
        </w:numPr>
        <w:spacing w:after="40"/>
      </w:pPr>
      <w:r>
        <w:rPr>
          <w:sz w:val="22"/>
        </w:rPr>
        <w:t xml:space="preserve">5. XGBoost — Optimised boosting with automatic scale_pos_weight for imbalanced data</w:t>
      </w:r>
    </w:p>
    <w:p w14:paraId="001000BC" w14:textId="001000BD">
      <w:pPr>
        <w:pStyle w:val="Normal"/>
        <w:numPr>
          <w:ilvl w:val="0"/>
          <w:numId w:val="4"/>
        </w:numPr>
        <w:spacing w:after="40"/>
      </w:pPr>
      <w:r>
        <w:rPr>
          <w:sz w:val="22"/>
        </w:rPr>
        <w:t xml:space="preserve">6. K-Nearest Neighbours — Distance-based classifier (k=7)</w:t>
      </w:r>
    </w:p>
    <w:p w14:paraId="001000BE" w14:textId="001000BF">
      <w:pPr>
        <w:pStyle w:val="Normal"/>
        <w:numPr>
          <w:ilvl w:val="0"/>
          <w:numId w:val="4"/>
        </w:numPr>
        <w:spacing w:after="120"/>
      </w:pPr>
      <w:r>
        <w:rPr>
          <w:sz w:val="22"/>
        </w:rPr>
        <w:t xml:space="preserve">7. Naive Bayes — Probabilistic baseline using Gaussian likelihood</w:t>
      </w:r>
    </w:p>
    <w:p w14:paraId="001000C0" w14:textId="001000C1">
      <w:pPr>
        <w:pStyle w:val="Normal"/>
        <w:spacing w:after="80"/>
      </w:pPr>
      <w:r>
        <w:rPr>
          <w:b/>
          <w:sz w:val="22"/>
        </w:rPr>
        <w:t xml:space="preserve">Evaluation Metrics:</w:t>
      </w:r>
    </w:p>
    <w:p w14:paraId="001000C2" w14:textId="001000C3">
      <w:pPr>
        <w:pStyle w:val="Normal"/>
        <w:spacing w:after="200"/>
      </w:pPr>
      <w:r>
        <w:rPr>
          <w:sz w:val="22"/>
        </w:rPr>
        <w:t xml:space="preserve">Accuracy, Precision (weighted), Recall (weighted), F1-Score (weighted), ROC-AUC, Average Precision, CV Mean AUC (5-fold), CV Std, and Training Time. The best model is selected based on user-chosen metric (default: ROC-AUC).</w:t>
      </w:r>
    </w:p>
    <w:p w14:paraId="001000C4" w14:textId="001000C5">
      <w:pPr>
        <w:pStyle w:val="Heading1"/>
        <w:spacing w:before="240" w:after="120"/>
      </w:pPr>
      <w:r>
        <w:rPr>
          <w:b/>
          <w:sz w:val="32"/>
        </w:rPr>
        <w:t xml:space="preserve">9. Risk Prediction Engine</w:t>
      </w:r>
    </w:p>
    <w:p w14:paraId="001000C6" w14:textId="001000C7">
      <w:pPr>
        <w:pStyle w:val="Normal"/>
        <w:spacing w:after="120"/>
      </w:pPr>
      <w:r>
        <w:rPr>
          <w:sz w:val="22"/>
        </w:rPr>
        <w:t xml:space="preserve">The real-time risk predictor generates a dynamic input form directly from the actual training feature names detected in the dataset. The form is never hardcoded — it contains exactly the features the best model was trained on.</w:t>
      </w:r>
    </w:p>
    <w:p w14:paraId="001000C8" w14:textId="001000C9">
      <w:pPr>
        <w:pStyle w:val="Normal"/>
        <w:spacing w:after="80"/>
      </w:pPr>
      <w:r>
        <w:rPr>
          <w:b/>
          <w:sz w:val="22"/>
        </w:rPr>
        <w:t xml:space="preserve">Five-Tier Risk Classification:</w:t>
      </w:r>
    </w:p>
    <w:p w14:paraId="001000CA" w14:textId="001000CB">
      <w:pPr>
        <w:pStyle w:val="Normal"/>
        <w:numPr>
          <w:ilvl w:val="0"/>
          <w:numId w:val="5"/>
        </w:numPr>
        <w:spacing w:after="40"/>
      </w:pPr>
      <w:r>
        <w:rPr>
          <w:sz w:val="22"/>
        </w:rPr>
        <w:t xml:space="preserve">Very Low Risk (p &lt; 15%) — Highly likely to repay</w:t>
      </w:r>
    </w:p>
    <w:p w14:paraId="001000CC" w14:textId="001000CD">
      <w:pPr>
        <w:pStyle w:val="Normal"/>
        <w:numPr>
          <w:ilvl w:val="0"/>
          <w:numId w:val="5"/>
        </w:numPr>
        <w:spacing w:after="40"/>
      </w:pPr>
      <w:r>
        <w:rPr>
          <w:sz w:val="22"/>
        </w:rPr>
        <w:t xml:space="preserve">Low Risk (15% &lt;= p &lt; 35%) — Acceptable risk</w:t>
      </w:r>
    </w:p>
    <w:p w14:paraId="001000CE" w14:textId="001000CF">
      <w:pPr>
        <w:pStyle w:val="Normal"/>
        <w:numPr>
          <w:ilvl w:val="0"/>
          <w:numId w:val="5"/>
        </w:numPr>
        <w:spacing w:after="40"/>
      </w:pPr>
      <w:r>
        <w:rPr>
          <w:sz w:val="22"/>
        </w:rPr>
        <w:t xml:space="preserve">Moderate Risk (35% &lt;= p &lt; 55%) — Requires further review</w:t>
      </w:r>
    </w:p>
    <w:p w14:paraId="001000D0" w14:textId="001000D1">
      <w:pPr>
        <w:pStyle w:val="Normal"/>
        <w:numPr>
          <w:ilvl w:val="0"/>
          <w:numId w:val="5"/>
        </w:numPr>
        <w:spacing w:after="40"/>
      </w:pPr>
      <w:r>
        <w:rPr>
          <w:sz w:val="22"/>
        </w:rPr>
        <w:t xml:space="preserve">High Risk (55% &lt;= p &lt; 75%) — Likely to default</w:t>
      </w:r>
    </w:p>
    <w:p w14:paraId="001000D2" w14:textId="001000D3">
      <w:pPr>
        <w:pStyle w:val="Normal"/>
        <w:numPr>
          <w:ilvl w:val="0"/>
          <w:numId w:val="5"/>
        </w:numPr>
        <w:spacing w:after="200"/>
      </w:pPr>
      <w:r>
        <w:rPr>
          <w:sz w:val="22"/>
        </w:rPr>
        <w:t xml:space="preserve">Very High Risk (p &gt;= 75%) — Strongly recommended for rejection</w:t>
      </w:r>
    </w:p>
    <w:p w14:paraId="001000D4" w14:textId="001000D5">
      <w:pPr>
        <w:pStyle w:val="Heading1"/>
        <w:spacing w:before="240" w:after="120"/>
      </w:pPr>
      <w:r>
        <w:rPr>
          <w:b/>
          <w:sz w:val="32"/>
        </w:rPr>
        <w:t xml:space="preserve">10. IBM watsonx.ai Integration</w:t>
      </w:r>
    </w:p>
    <w:p w14:paraId="001000D6" w14:textId="001000D7">
      <w:pPr>
        <w:pStyle w:val="Normal"/>
        <w:spacing w:after="120"/>
      </w:pPr>
      <w:r>
        <w:rPr>
          <w:sz w:val="22"/>
        </w:rPr>
        <w:t xml:space="preserve">FinGuard AI integrates with IBM watsonx.ai using the official ibm-watsonx-ai Python SDK (version &gt;= 1.1.0). The integration uses the ibm/granite-13b-instruct-v2 foundation model.</w:t>
      </w:r>
    </w:p>
    <w:p w14:paraId="001000D8" w14:textId="001000D9">
      <w:pPr>
        <w:pStyle w:val="Normal"/>
        <w:spacing w:after="80"/>
      </w:pPr>
      <w:r>
        <w:rPr>
          <w:b/>
          <w:sz w:val="22"/>
        </w:rPr>
        <w:t xml:space="preserve">Three AI use cases are implemented:</w:t>
      </w:r>
    </w:p>
    <w:p w14:paraId="001000DA" w14:textId="001000DB">
      <w:pPr>
        <w:pStyle w:val="Normal"/>
        <w:numPr>
          <w:ilvl w:val="0"/>
          <w:numId w:val="6"/>
        </w:numPr>
        <w:spacing w:after="40"/>
      </w:pPr>
      <w:r>
        <w:rPr>
          <w:sz w:val="22"/>
        </w:rPr>
        <w:t xml:space="preserve">Individual Risk Explanation — Given a specific applicant's data, predicted class, probability, and top contributing features, Granite generates a structured 5-section risk narrative: Executive Summary, Key Risk Drivers, Mitigating Factors, Recommended Decision, and Risk Mitigation Actions.</w:t>
      </w:r>
    </w:p>
    <w:p w14:paraId="001000DC" w14:textId="001000DD">
      <w:pPr>
        <w:pStyle w:val="Normal"/>
        <w:numPr>
          <w:ilvl w:val="0"/>
          <w:numId w:val="6"/>
        </w:numPr>
        <w:spacing w:after="40"/>
      </w:pPr>
      <w:r>
        <w:rPr>
          <w:sz w:val="22"/>
        </w:rPr>
        <w:t xml:space="preserve">EDA Insights — Based on dataset statistics, Granite provides Data Quality Assessment, Key Patterns, Class Imbalance Analysis, Feature Engineering Suggestions, and Modelling Strategy recommendations.</w:t>
      </w:r>
    </w:p>
    <w:p w14:paraId="001000DE" w14:textId="001000DF">
      <w:pPr>
        <w:pStyle w:val="Normal"/>
        <w:numPr>
          <w:ilvl w:val="0"/>
          <w:numId w:val="6"/>
        </w:numPr>
        <w:spacing w:after="120"/>
      </w:pPr>
      <w:r>
        <w:rPr>
          <w:sz w:val="22"/>
        </w:rPr>
        <w:t xml:space="preserve">Model Insights — Given all model scores, Granite provides Best Model Analysis, Performance Interpretation, Model Weaknesses, Deployment Recommendation, and Next Steps.</w:t>
      </w:r>
    </w:p>
    <w:p w14:paraId="001000E0" w14:textId="001000E1">
      <w:pPr>
        <w:pStyle w:val="Normal"/>
        <w:spacing w:after="200"/>
      </w:pPr>
      <w:r>
        <w:rPr>
          <w:sz w:val="22"/>
        </w:rPr>
        <w:t xml:space="preserve">The integration is optional — the app runs fully without watsonx.ai credentials. The connection uses IAM-based API key authentication through IBM Cloud.</w:t>
      </w:r>
    </w:p>
    <w:p w14:paraId="001000E2" w14:textId="001000E3">
      <w:pPr>
        <w:pStyle w:val="Heading1"/>
        <w:spacing w:before="240" w:after="120"/>
      </w:pPr>
      <w:r>
        <w:rPr>
          <w:b/>
          <w:sz w:val="32"/>
        </w:rPr>
        <w:t xml:space="preserve">11. Application Features</w:t>
      </w:r>
    </w:p>
    <w:p w14:paraId="001000E4" w14:textId="001000E5">
      <w:pPr>
        <w:pStyle w:val="Normal"/>
        <w:spacing w:after="120"/>
      </w:pPr>
      <w:r>
        <w:rPr>
          <w:sz w:val="22"/>
        </w:rPr>
        <w:t xml:space="preserve">FinGuard AI is structured around 7 navigation tabs, each covering a distinct analytical workflow:</w:t>
      </w:r>
    </w:p>
    <w:p w14:paraId="001000E6" w14:textId="001000E7">
      <w:pPr>
        <w:pStyle w:val="Normal"/>
        <w:numPr>
          <w:ilvl w:val="0"/>
          <w:numId w:val="7"/>
        </w:numPr>
        <w:spacing w:after="60"/>
      </w:pPr>
      <w:r>
        <w:rPr>
          <w:sz w:val="22"/>
        </w:rPr>
        <w:t xml:space="preserve">Tab 1 — Data Overview: Column classification report, target variable analysis, class imbalance severity, summary statistics table, raw data preview (first 100 rows), ID column warnings, high-cardinality flags.</w:t>
      </w:r>
    </w:p>
    <w:p w14:paraId="001000E8" w14:textId="001000E9">
      <w:pPr>
        <w:pStyle w:val="Normal"/>
        <w:numPr>
          <w:ilvl w:val="0"/>
          <w:numId w:val="7"/>
        </w:numPr>
        <w:spacing w:after="60"/>
      </w:pPr>
      <w:r>
        <w:rPr>
          <w:sz w:val="22"/>
        </w:rPr>
        <w:t xml:space="preserve">Tab 2 — EDA: 8 sub-tabs covering all aspects of the dataset distribution, relationships, and data quality.</w:t>
      </w:r>
    </w:p>
    <w:p w14:paraId="001000EA" w14:textId="001000EB">
      <w:pPr>
        <w:pStyle w:val="Normal"/>
        <w:numPr>
          <w:ilvl w:val="0"/>
          <w:numId w:val="7"/>
        </w:numPr>
        <w:spacing w:after="60"/>
      </w:pPr>
      <w:r>
        <w:rPr>
          <w:sz w:val="22"/>
        </w:rPr>
        <w:t xml:space="preserve">Tab 3 — Model Training: Training pipeline visualisation, metrics summary table, grouped bar comparison, CV error bars, training time chart.</w:t>
      </w:r>
    </w:p>
    <w:p w14:paraId="001000EC" w14:textId="001000ED">
      <w:pPr>
        <w:pStyle w:val="Normal"/>
        <w:numPr>
          <w:ilvl w:val="0"/>
          <w:numId w:val="7"/>
        </w:numPr>
        <w:spacing w:after="60"/>
      </w:pPr>
      <w:r>
        <w:rPr>
          <w:sz w:val="22"/>
        </w:rPr>
        <w:t xml:space="preserve">Tab 4 — Model Evaluation: Per-model deep dive with ROC curves (all models), PR curves, confusion matrix with TP/TN/FP/FN breakdown, feature importance, full classification report.</w:t>
      </w:r>
    </w:p>
    <w:p w14:paraId="001000EE" w14:textId="001000EF">
      <w:pPr>
        <w:pStyle w:val="Normal"/>
        <w:numPr>
          <w:ilvl w:val="0"/>
          <w:numId w:val="7"/>
        </w:numPr>
        <w:spacing w:after="60"/>
      </w:pPr>
      <w:r>
        <w:rPr>
          <w:sz w:val="22"/>
        </w:rPr>
        <w:t xml:space="preserve">Tab 5 — Risk Predictor: Auto-generated input form, real-time prediction, probability gauge, optional IBM Granite AI narrative.</w:t>
      </w:r>
    </w:p>
    <w:p w14:paraId="001000F0" w14:textId="001000F1">
      <w:pPr>
        <w:pStyle w:val="Normal"/>
        <w:numPr>
          <w:ilvl w:val="0"/>
          <w:numId w:val="7"/>
        </w:numPr>
        <w:spacing w:after="60"/>
      </w:pPr>
      <w:r>
        <w:rPr>
          <w:sz w:val="22"/>
        </w:rPr>
        <w:t xml:space="preserve">Tab 6 — AI Insights: EDA insights and model insights via IBM watsonx.ai Granite (optional, requires credentials).</w:t>
      </w:r>
    </w:p>
    <w:p w14:paraId="001000F2" w14:textId="001000F3">
      <w:pPr>
        <w:pStyle w:val="Normal"/>
        <w:numPr>
          <w:ilvl w:val="0"/>
          <w:numId w:val="7"/>
        </w:numPr>
        <w:spacing w:after="200"/>
      </w:pPr>
      <w:r>
        <w:rPr>
          <w:sz w:val="22"/>
        </w:rPr>
        <w:t xml:space="preserve">Tab 7 — Export Report: One-click download of 7-sheet styled Excel report.</w:t>
      </w:r>
    </w:p>
    <w:p w14:paraId="001000F4" w14:textId="001000F5">
      <w:pPr>
        <w:pStyle w:val="Heading1"/>
        <w:spacing w:before="240" w:after="120"/>
      </w:pPr>
      <w:r>
        <w:rPr>
          <w:b/>
          <w:sz w:val="32"/>
        </w:rPr>
        <w:t xml:space="preserve">12. Results &amp; Evaluation</w:t>
      </w:r>
    </w:p>
    <w:p w14:paraId="001000F6" w14:textId="001000F7">
      <w:pPr>
        <w:pStyle w:val="Normal"/>
        <w:spacing w:after="120"/>
      </w:pPr>
      <w:r>
        <w:rPr>
          <w:sz w:val="22"/>
        </w:rPr>
        <w:t xml:space="preserve">The application trains all selected classifiers on the actual dataset and reports comprehensive evaluation metrics. Model performance will vary based on the specific dataset characteristics, but the pipeline is designed to handle class imbalance, high-dimensional feature spaces, and mixed data types robustly.</w:t>
      </w:r>
    </w:p>
    <w:p w14:paraId="001000F8" w14:textId="001000F9">
      <w:pPr>
        <w:pStyle w:val="Normal"/>
        <w:spacing w:after="120"/>
      </w:pPr>
      <w:r>
        <w:rPr>
          <w:sz w:val="22"/>
        </w:rPr>
        <w:t xml:space="preserve">Best model selection is based on ROC-AUC by default (configurable to F1, Accuracy, or Average Precision via sidebar). ROC-AUC is preferred for credit risk because it measures the model's ability to discriminate between defaulters and non-defaulters independent of the decision threshold, which is critical for imbalanced datasets.</w:t>
      </w:r>
    </w:p>
    <w:p w14:paraId="001000FA" w14:textId="001000FB">
      <w:pPr>
        <w:pStyle w:val="Normal"/>
        <w:spacing w:after="200"/>
      </w:pPr>
      <w:r>
        <w:rPr>
          <w:sz w:val="22"/>
        </w:rPr>
        <w:t xml:space="preserve">Class imbalance is handled via: class_weight='balanced' for Logistic Regression, Decision Tree, and Random Forest; scale_pos_weight calculated from the actual class ratio for XGBoost; 5-fold stratified cross-validation to ensure representative train/test splits.</w:t>
      </w:r>
    </w:p>
    <w:p w14:paraId="001000FC" w14:textId="001000FD">
      <w:pPr>
        <w:pStyle w:val="Heading1"/>
        <w:spacing w:before="240" w:after="120"/>
      </w:pPr>
      <w:r>
        <w:rPr>
          <w:b/>
          <w:sz w:val="32"/>
        </w:rPr>
        <w:t xml:space="preserve">13. Setup &amp; Deployment</w:t>
      </w:r>
    </w:p>
    <w:p w14:paraId="001000FE" w14:textId="001000FF">
      <w:pPr>
        <w:pStyle w:val="Normal"/>
        <w:numPr>
          <w:ilvl w:val="0"/>
          <w:numId w:val="8"/>
        </w:numPr>
        <w:spacing w:after="60"/>
      </w:pPr>
      <w:r>
        <w:rPr>
          <w:sz w:val="22"/>
        </w:rPr>
        <w:t xml:space="preserve">Step 1 — Download the dataset from Kaggle (URL in Section 3) and save the CSV file locally.</w:t>
      </w:r>
    </w:p>
    <w:p w14:paraId="00100100" w14:textId="00100101">
      <w:pPr>
        <w:pStyle w:val="Normal"/>
        <w:numPr>
          <w:ilvl w:val="0"/>
          <w:numId w:val="8"/>
        </w:numPr>
        <w:spacing w:after="60"/>
      </w:pPr>
      <w:r>
        <w:rPr>
          <w:sz w:val="22"/>
        </w:rPr>
        <w:t xml:space="preserve">Step 2 — Install dependencies: pip install -r requirements.txt</w:t>
      </w:r>
    </w:p>
    <w:p w14:paraId="00100102" w14:textId="00100103">
      <w:pPr>
        <w:pStyle w:val="Normal"/>
        <w:numPr>
          <w:ilvl w:val="0"/>
          <w:numId w:val="8"/>
        </w:numPr>
        <w:spacing w:after="60"/>
      </w:pPr>
      <w:r>
        <w:rPr>
          <w:sz w:val="22"/>
        </w:rPr>
        <w:t xml:space="preserve">Step 3 — Launch the app: python -m streamlit run app.py</w:t>
      </w:r>
    </w:p>
    <w:p w14:paraId="00100104" w14:textId="00100105">
      <w:pPr>
        <w:pStyle w:val="Normal"/>
        <w:numPr>
          <w:ilvl w:val="0"/>
          <w:numId w:val="8"/>
        </w:numPr>
        <w:spacing w:after="60"/>
      </w:pPr>
      <w:r>
        <w:rPr>
          <w:sz w:val="22"/>
        </w:rPr>
        <w:t xml:space="preserve">Step 4 — Upload the CSV file using the sidebar file uploader.</w:t>
      </w:r>
    </w:p>
    <w:p w14:paraId="00100106" w14:textId="00100107">
      <w:pPr>
        <w:pStyle w:val="Normal"/>
        <w:numPr>
          <w:ilvl w:val="0"/>
          <w:numId w:val="8"/>
        </w:numPr>
        <w:spacing w:after="60"/>
      </w:pPr>
      <w:r>
        <w:rPr>
          <w:sz w:val="22"/>
        </w:rPr>
        <w:t xml:space="preserve">Step 5 — Select models and settings, then click Train Models.</w:t>
      </w:r>
    </w:p>
    <w:p w14:paraId="00100108" w14:textId="00100109">
      <w:pPr>
        <w:pStyle w:val="Normal"/>
        <w:numPr>
          <w:ilvl w:val="0"/>
          <w:numId w:val="8"/>
        </w:numPr>
        <w:spacing w:after="200"/>
      </w:pPr>
      <w:r>
        <w:rPr>
          <w:sz w:val="22"/>
        </w:rPr>
        <w:t xml:space="preserve">Step 6 (Optional) — Enter IBM watsonx.ai credentials to enable AI insights.</w:t>
      </w:r>
    </w:p>
    <w:p w14:paraId="0010010A" w14:textId="0010010B">
      <w:pPr>
        <w:pStyle w:val="Heading1"/>
        <w:spacing w:before="240" w:after="120"/>
      </w:pPr>
      <w:r>
        <w:rPr>
          <w:b/>
          <w:sz w:val="32"/>
        </w:rPr>
        <w:t xml:space="preserve">14. Conclusion</w:t>
      </w:r>
    </w:p>
    <w:p w14:paraId="0010010C" w14:textId="0010010D">
      <w:pPr>
        <w:pStyle w:val="Normal"/>
        <w:spacing w:after="120"/>
      </w:pPr>
      <w:r>
        <w:rPr>
          <w:sz w:val="22"/>
        </w:rPr>
        <w:t xml:space="preserve">FinGuard AI demonstrates the application of advanced machine learning techniques to a high-impact real-world problem — credit default risk prediction in the banking sector. The project successfully fulfils all requirements of the IBM SkillsBuild Data Analytics with AI Academic Internship Program.</w:t>
      </w:r>
    </w:p>
    <w:p w14:paraId="0010010E" w14:textId="0010010F">
      <w:pPr>
        <w:pStyle w:val="Normal"/>
        <w:spacing w:after="200"/>
      </w:pPr>
      <w:r>
        <w:rPr>
          <w:sz w:val="22"/>
        </w:rPr>
        <w:t xml:space="preserve">The key technical achievement is the auto-detection engine that makes the application universally applicable to any credit/loan dataset without requiring code changes. Combined with IBM watsonx.ai's Granite foundation model for generative AI insights, FinGuard AI represents a complete, production-ready analytics platform that bridges classical machine learning with modern AI capabilities.</w:t>
      </w:r>
    </w:p>
    <w:p w14:paraId="00100110" w14:textId="00100111">
      <w:pPr>
        <w:pStyle w:val="Heading1"/>
        <w:spacing w:before="240" w:after="120"/>
      </w:pPr>
      <w:r>
        <w:rPr>
          <w:b/>
          <w:sz w:val="32"/>
        </w:rPr>
        <w:t xml:space="preserve">15. References</w:t>
      </w:r>
    </w:p>
    <w:p w14:paraId="00100112" w14:textId="00100113">
      <w:pPr>
        <w:pStyle w:val="Normal"/>
        <w:numPr>
          <w:ilvl w:val="0"/>
          <w:numId w:val="9"/>
        </w:numPr>
        <w:spacing w:after="60"/>
      </w:pPr>
      <w:r>
        <w:rPr>
          <w:sz w:val="22"/>
        </w:rPr>
        <w:t xml:space="preserve">Kaggle Dataset: Bank Credit Default — Loan Default Prediction. https://www.kaggle.com/datasets/kornilovag94/bank-credit-default-loan-default</w:t>
      </w:r>
    </w:p>
    <w:p w14:paraId="00100114" w14:textId="00100115">
      <w:pPr>
        <w:pStyle w:val="Normal"/>
        <w:numPr>
          <w:ilvl w:val="0"/>
          <w:numId w:val="9"/>
        </w:numPr>
        <w:spacing w:after="60"/>
      </w:pPr>
      <w:r>
        <w:rPr>
          <w:sz w:val="22"/>
        </w:rPr>
        <w:t xml:space="preserve">IBM watsonx.ai Documentation. https://dataplatform.cloud.ibm.com/docs/content/wsj/analyze-data/fm-overview.html</w:t>
      </w:r>
    </w:p>
    <w:p w14:paraId="00100116" w14:textId="00100117">
      <w:pPr>
        <w:pStyle w:val="Normal"/>
        <w:numPr>
          <w:ilvl w:val="0"/>
          <w:numId w:val="9"/>
        </w:numPr>
        <w:spacing w:after="60"/>
      </w:pPr>
      <w:r>
        <w:rPr>
          <w:sz w:val="22"/>
        </w:rPr>
        <w:t xml:space="preserve">IBM watsonx.ai Python SDK. https://ibm.github.io/watsonx-ai-python-sdk/index.html</w:t>
      </w:r>
    </w:p>
    <w:p w14:paraId="00100118" w14:textId="00100119">
      <w:pPr>
        <w:pStyle w:val="Normal"/>
        <w:numPr>
          <w:ilvl w:val="0"/>
          <w:numId w:val="9"/>
        </w:numPr>
        <w:spacing w:after="60"/>
      </w:pPr>
      <w:r>
        <w:rPr>
          <w:sz w:val="22"/>
        </w:rPr>
        <w:t xml:space="preserve">Scikit-Learn Documentation. https://scikit-learn.org</w:t>
      </w:r>
    </w:p>
    <w:p w14:paraId="0010011A" w14:textId="0010011B">
      <w:pPr>
        <w:pStyle w:val="Normal"/>
        <w:numPr>
          <w:ilvl w:val="0"/>
          <w:numId w:val="9"/>
        </w:numPr>
        <w:spacing w:after="60"/>
      </w:pPr>
      <w:r>
        <w:rPr>
          <w:sz w:val="22"/>
        </w:rPr>
        <w:t xml:space="preserve">XGBoost Documentation. https://xgboost.readthedocs.io</w:t>
      </w:r>
    </w:p>
    <w:p w14:paraId="0010011C" w14:textId="0010011D">
      <w:pPr>
        <w:pStyle w:val="Normal"/>
        <w:numPr>
          <w:ilvl w:val="0"/>
          <w:numId w:val="9"/>
        </w:numPr>
        <w:spacing w:after="60"/>
      </w:pPr>
      <w:r>
        <w:rPr>
          <w:sz w:val="22"/>
        </w:rPr>
        <w:t xml:space="preserve">Streamlit Documentation. https://docs.streamlit.io</w:t>
      </w:r>
    </w:p>
    <w:p w14:paraId="0010011E" w14:textId="0010011F">
      <w:pPr>
        <w:pStyle w:val="Normal"/>
        <w:numPr>
          <w:ilvl w:val="0"/>
          <w:numId w:val="9"/>
        </w:numPr>
        <w:spacing w:after="60"/>
      </w:pPr>
      <w:r>
        <w:rPr>
          <w:sz w:val="22"/>
        </w:rPr>
        <w:t xml:space="preserve">Plotly Documentation. https://plotly.com/python</w:t>
      </w:r>
    </w:p>
    <w:p w14:paraId="00100120" w14:textId="00100121">
      <w:pPr>
        <w:pStyle w:val="Normal"/>
        <w:numPr>
          <w:ilvl w:val="0"/>
          <w:numId w:val="9"/>
        </w:numPr>
        <w:spacing w:after="240"/>
      </w:pPr>
      <w:r>
        <w:rPr>
          <w:sz w:val="22"/>
        </w:rPr>
        <w:t xml:space="preserve">IBM SkillsBuild Program. https://skillsbuild.org</w:t>
      </w:r>
    </w:p>
    <w:p w14:paraId="00100122" w14:textId="00100123">
      <w:pPr>
        <w:pStyle w:val="Normal"/>
        <w:spacing w:after="120"/>
        <w:jc w:val="center"/>
      </w:pPr>
      <w:r>
        <w:rPr>
          <w:color w:val="888888"/>
          <w:sz w:val="20"/>
        </w:rPr>
        <w:t xml:space="preserve">FinGuard AI — Prashant | IBM SkillsBuild | BharatCares &amp; AICTE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7a0f43646bc246ef" /><Relationship Type="http://schemas.openxmlformats.org/officeDocument/2006/relationships/styles" Target="/word/styles.xml" Id="Rb8b03b75a50e4cee" /><Relationship Type="http://schemas.openxmlformats.org/officeDocument/2006/relationships/theme" Target="/word/theme/theme1.xml" Id="Rae3d70fddc1e4903" /><Relationship Type="http://schemas.openxmlformats.org/officeDocument/2006/relationships/numbering" Target="/word/numbering.xml" Id="R0fc41efac7b545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2026-09-23T10:24:37Z</dcterms:created>
  <cp:lastModifiedBy>OfficeCLI</cp:lastModifiedBy>
  <dcterms:modified xsi:type="dcterms:W3CDTF">2026-09-23T10:24:37Z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2026-09-23T10:26:55Z</vt:lpwstr>
  </op:property>
</op:Properties>
</file>