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A3DCE" w14:textId="77777777" w:rsidR="00FD10DB" w:rsidRDefault="00FD10DB" w:rsidP="00FD10DB">
      <w:pPr>
        <w:jc w:val="center"/>
        <w:rPr>
          <w:rFonts w:ascii="Calibri" w:hAnsi="Calibri" w:cs="Calibri"/>
          <w:b/>
          <w:bCs/>
          <w:sz w:val="48"/>
          <w:szCs w:val="48"/>
        </w:rPr>
      </w:pPr>
    </w:p>
    <w:p w14:paraId="1CE3DF12" w14:textId="77777777" w:rsidR="00FD10DB" w:rsidRDefault="00FD10DB" w:rsidP="00FD10DB">
      <w:pPr>
        <w:jc w:val="center"/>
        <w:rPr>
          <w:rFonts w:ascii="Calibri" w:hAnsi="Calibri" w:cs="Calibri"/>
          <w:b/>
          <w:bCs/>
          <w:sz w:val="48"/>
          <w:szCs w:val="48"/>
        </w:rPr>
      </w:pPr>
    </w:p>
    <w:p w14:paraId="0661B897" w14:textId="77777777" w:rsidR="00FD10DB" w:rsidRDefault="00FD10DB" w:rsidP="00FD10DB">
      <w:pPr>
        <w:jc w:val="center"/>
        <w:rPr>
          <w:rFonts w:ascii="Calibri" w:hAnsi="Calibri" w:cs="Calibri"/>
          <w:b/>
          <w:bCs/>
          <w:sz w:val="48"/>
          <w:szCs w:val="48"/>
        </w:rPr>
      </w:pPr>
    </w:p>
    <w:p w14:paraId="277C6D95" w14:textId="77777777" w:rsidR="00FD10DB" w:rsidRDefault="00FD10DB" w:rsidP="00FD10DB">
      <w:pPr>
        <w:jc w:val="center"/>
        <w:rPr>
          <w:rFonts w:ascii="Calibri" w:hAnsi="Calibri" w:cs="Calibri"/>
          <w:b/>
          <w:bCs/>
          <w:sz w:val="48"/>
          <w:szCs w:val="48"/>
        </w:rPr>
      </w:pPr>
    </w:p>
    <w:p w14:paraId="77950572" w14:textId="6DF33D1D" w:rsidR="00FD10DB" w:rsidRPr="00FD10DB" w:rsidRDefault="00FD10DB" w:rsidP="00FD10DB">
      <w:pPr>
        <w:jc w:val="center"/>
        <w:rPr>
          <w:rFonts w:ascii="Calibri" w:hAnsi="Calibri" w:cs="Calibri"/>
          <w:b/>
          <w:bCs/>
          <w:sz w:val="48"/>
          <w:szCs w:val="48"/>
        </w:rPr>
      </w:pPr>
      <w:r w:rsidRPr="00FD10DB">
        <w:rPr>
          <w:rFonts w:ascii="Calibri" w:hAnsi="Calibri" w:cs="Calibri"/>
          <w:b/>
          <w:bCs/>
          <w:sz w:val="48"/>
          <w:szCs w:val="48"/>
        </w:rPr>
        <w:t>The Evolution of COVID-19 in New York State: A Data-Driven Analysis</w:t>
      </w:r>
    </w:p>
    <w:p w14:paraId="696E44D9" w14:textId="77777777" w:rsidR="00FD10DB" w:rsidRDefault="00FD10DB" w:rsidP="00FD10DB">
      <w:pPr>
        <w:rPr>
          <w:rFonts w:ascii="Calibri" w:hAnsi="Calibri" w:cs="Calibri"/>
          <w:b/>
          <w:bCs/>
        </w:rPr>
      </w:pPr>
    </w:p>
    <w:p w14:paraId="2317F9C1" w14:textId="77777777" w:rsidR="00FD10DB" w:rsidRDefault="00FD10DB" w:rsidP="00FD10DB">
      <w:pPr>
        <w:rPr>
          <w:rFonts w:ascii="Calibri" w:hAnsi="Calibri" w:cs="Calibri"/>
          <w:b/>
          <w:bCs/>
        </w:rPr>
      </w:pPr>
    </w:p>
    <w:p w14:paraId="2E8C5624" w14:textId="77777777" w:rsidR="00FD10DB" w:rsidRDefault="00FD10DB" w:rsidP="00FD10DB">
      <w:pPr>
        <w:rPr>
          <w:rFonts w:ascii="Calibri" w:hAnsi="Calibri" w:cs="Calibri"/>
          <w:b/>
          <w:bCs/>
        </w:rPr>
      </w:pPr>
    </w:p>
    <w:p w14:paraId="75C68B28" w14:textId="77777777" w:rsidR="00FD10DB" w:rsidRDefault="00FD10DB" w:rsidP="00FD10DB">
      <w:pPr>
        <w:rPr>
          <w:rFonts w:ascii="Calibri" w:hAnsi="Calibri" w:cs="Calibri"/>
          <w:b/>
          <w:bCs/>
        </w:rPr>
      </w:pPr>
    </w:p>
    <w:p w14:paraId="0193B1AC" w14:textId="77777777" w:rsidR="00FD10DB" w:rsidRDefault="00FD10DB" w:rsidP="00FD10DB">
      <w:pPr>
        <w:rPr>
          <w:rFonts w:ascii="Calibri" w:hAnsi="Calibri" w:cs="Calibri"/>
          <w:b/>
          <w:bCs/>
        </w:rPr>
      </w:pPr>
    </w:p>
    <w:p w14:paraId="02015159" w14:textId="77777777" w:rsidR="00FD10DB" w:rsidRDefault="00FD10DB" w:rsidP="00FD10DB">
      <w:pPr>
        <w:rPr>
          <w:rFonts w:ascii="Calibri" w:hAnsi="Calibri" w:cs="Calibri"/>
          <w:b/>
          <w:bCs/>
        </w:rPr>
      </w:pPr>
    </w:p>
    <w:p w14:paraId="4CAE5AB9" w14:textId="77777777" w:rsidR="00FD10DB" w:rsidRDefault="00FD10DB" w:rsidP="00FD10DB">
      <w:pPr>
        <w:rPr>
          <w:rFonts w:ascii="Calibri" w:hAnsi="Calibri" w:cs="Calibri"/>
          <w:b/>
          <w:bCs/>
        </w:rPr>
      </w:pPr>
    </w:p>
    <w:p w14:paraId="0FF8F9E3" w14:textId="77777777" w:rsidR="00FD10DB" w:rsidRDefault="00FD10DB" w:rsidP="00FD10DB">
      <w:pPr>
        <w:rPr>
          <w:rFonts w:ascii="Calibri" w:hAnsi="Calibri" w:cs="Calibri"/>
          <w:b/>
          <w:bCs/>
        </w:rPr>
      </w:pPr>
    </w:p>
    <w:p w14:paraId="0B8CEC43" w14:textId="77777777" w:rsidR="00FD10DB" w:rsidRDefault="00FD10DB" w:rsidP="00FD10DB">
      <w:pPr>
        <w:rPr>
          <w:rFonts w:ascii="Calibri" w:hAnsi="Calibri" w:cs="Calibri"/>
          <w:b/>
          <w:bCs/>
        </w:rPr>
      </w:pPr>
    </w:p>
    <w:p w14:paraId="017DE2B0" w14:textId="77777777" w:rsidR="00FD10DB" w:rsidRDefault="00FD10DB" w:rsidP="00FD10DB">
      <w:pPr>
        <w:rPr>
          <w:rFonts w:ascii="Calibri" w:hAnsi="Calibri" w:cs="Calibri"/>
          <w:b/>
          <w:bCs/>
        </w:rPr>
      </w:pPr>
    </w:p>
    <w:p w14:paraId="5F6A6E6B" w14:textId="111AF9AF" w:rsidR="00FD10DB" w:rsidRPr="00FD10DB" w:rsidRDefault="00FD10DB" w:rsidP="00FD10DB">
      <w:pPr>
        <w:rPr>
          <w:rFonts w:ascii="Calibri" w:hAnsi="Calibri" w:cs="Calibri"/>
          <w:b/>
          <w:bCs/>
          <w:sz w:val="40"/>
          <w:szCs w:val="40"/>
        </w:rPr>
      </w:pPr>
      <w:r w:rsidRPr="00FD10DB">
        <w:rPr>
          <w:rFonts w:ascii="Calibri" w:hAnsi="Calibri" w:cs="Calibri"/>
          <w:b/>
          <w:bCs/>
          <w:sz w:val="40"/>
          <w:szCs w:val="40"/>
        </w:rPr>
        <w:t>Group Members:</w:t>
      </w:r>
    </w:p>
    <w:p w14:paraId="30A94603" w14:textId="2EB525C4" w:rsidR="00FD10DB" w:rsidRPr="00FD10DB" w:rsidRDefault="00FD10DB" w:rsidP="00FD10DB">
      <w:pPr>
        <w:spacing w:after="0"/>
        <w:rPr>
          <w:rFonts w:ascii="Calibri" w:hAnsi="Calibri" w:cs="Calibri"/>
          <w:sz w:val="28"/>
          <w:szCs w:val="28"/>
        </w:rPr>
      </w:pPr>
      <w:r w:rsidRPr="00FD10DB">
        <w:rPr>
          <w:rFonts w:ascii="Calibri" w:hAnsi="Calibri" w:cs="Calibri"/>
          <w:sz w:val="28"/>
          <w:szCs w:val="28"/>
        </w:rPr>
        <w:t>Bhoomi Parikh</w:t>
      </w:r>
    </w:p>
    <w:p w14:paraId="4B3025AF" w14:textId="3F86BAB2" w:rsidR="00FD10DB" w:rsidRPr="00FD10DB" w:rsidRDefault="00FD10DB" w:rsidP="00FD10DB">
      <w:pPr>
        <w:spacing w:after="0"/>
        <w:rPr>
          <w:rFonts w:ascii="Calibri" w:hAnsi="Calibri" w:cs="Calibri"/>
          <w:sz w:val="28"/>
          <w:szCs w:val="28"/>
        </w:rPr>
      </w:pPr>
      <w:r w:rsidRPr="00FD10DB">
        <w:rPr>
          <w:rFonts w:ascii="Calibri" w:hAnsi="Calibri" w:cs="Calibri"/>
          <w:sz w:val="28"/>
          <w:szCs w:val="28"/>
        </w:rPr>
        <w:t>L. Sameera Velama</w:t>
      </w:r>
    </w:p>
    <w:p w14:paraId="69EB58C0" w14:textId="0A176B94" w:rsidR="00FD10DB" w:rsidRPr="00FD10DB" w:rsidRDefault="00FD10DB" w:rsidP="00FD10DB">
      <w:pPr>
        <w:spacing w:after="0"/>
        <w:rPr>
          <w:rFonts w:ascii="Calibri" w:hAnsi="Calibri" w:cs="Calibri"/>
          <w:sz w:val="28"/>
          <w:szCs w:val="28"/>
        </w:rPr>
      </w:pPr>
      <w:r w:rsidRPr="00FD10DB">
        <w:rPr>
          <w:rFonts w:ascii="Calibri" w:hAnsi="Calibri" w:cs="Calibri"/>
          <w:sz w:val="28"/>
          <w:szCs w:val="28"/>
        </w:rPr>
        <w:t>Matiullah Mati</w:t>
      </w:r>
    </w:p>
    <w:p w14:paraId="0659C792" w14:textId="3DE4B598" w:rsidR="00FD10DB" w:rsidRPr="00FD10DB" w:rsidRDefault="00FD10DB" w:rsidP="00FD10DB">
      <w:pPr>
        <w:spacing w:after="0"/>
        <w:rPr>
          <w:rFonts w:ascii="Calibri" w:hAnsi="Calibri" w:cs="Calibri"/>
          <w:sz w:val="28"/>
          <w:szCs w:val="28"/>
        </w:rPr>
      </w:pPr>
      <w:r w:rsidRPr="00FD10DB">
        <w:rPr>
          <w:rFonts w:ascii="Calibri" w:hAnsi="Calibri" w:cs="Calibri"/>
          <w:sz w:val="28"/>
          <w:szCs w:val="28"/>
        </w:rPr>
        <w:t>Ramya P. Jandhyala</w:t>
      </w:r>
    </w:p>
    <w:p w14:paraId="1049887E" w14:textId="3ADB33AA" w:rsidR="00FD10DB" w:rsidRDefault="00FD10DB" w:rsidP="00FD10DB">
      <w:pPr>
        <w:spacing w:after="0"/>
        <w:rPr>
          <w:rFonts w:ascii="Calibri" w:hAnsi="Calibri" w:cs="Calibri"/>
          <w:sz w:val="28"/>
          <w:szCs w:val="28"/>
        </w:rPr>
      </w:pPr>
      <w:r w:rsidRPr="00FD10DB">
        <w:rPr>
          <w:rFonts w:ascii="Calibri" w:hAnsi="Calibri" w:cs="Calibri"/>
          <w:sz w:val="28"/>
          <w:szCs w:val="28"/>
        </w:rPr>
        <w:t>Vikramaditya Devarakonda</w:t>
      </w:r>
    </w:p>
    <w:p w14:paraId="5CB711AA" w14:textId="1358CB90" w:rsidR="00FD10DB" w:rsidRPr="00FD10DB" w:rsidRDefault="00FD10DB" w:rsidP="00FD10DB">
      <w:pPr>
        <w:spacing w:after="0"/>
        <w:rPr>
          <w:rFonts w:ascii="Calibri" w:hAnsi="Calibri" w:cs="Calibri"/>
          <w:b/>
          <w:bCs/>
          <w:sz w:val="28"/>
          <w:szCs w:val="28"/>
        </w:rPr>
      </w:pPr>
      <w:r w:rsidRPr="00FD10DB">
        <w:rPr>
          <w:rFonts w:ascii="Calibri" w:hAnsi="Calibri" w:cs="Calibri"/>
          <w:b/>
          <w:bCs/>
          <w:sz w:val="28"/>
          <w:szCs w:val="28"/>
        </w:rPr>
        <w:t>Group - 7</w:t>
      </w:r>
    </w:p>
    <w:p w14:paraId="700608DC" w14:textId="2AE8CFEB" w:rsidR="00FD10DB" w:rsidRDefault="00FD10DB" w:rsidP="00FD10DB"/>
    <w:p w14:paraId="16E1826F" w14:textId="77777777" w:rsidR="00FD10DB" w:rsidRPr="00FD10DB" w:rsidRDefault="00FD10DB" w:rsidP="00FD10DB"/>
    <w:p w14:paraId="6B2D5D6C" w14:textId="75A0C42D" w:rsidR="00FD10DB" w:rsidRDefault="00FD10DB" w:rsidP="00837ED6">
      <w:pPr>
        <w:jc w:val="center"/>
        <w:rPr>
          <w:rFonts w:ascii="Calibri" w:hAnsi="Calibri" w:cs="Calibri"/>
          <w:b/>
          <w:bCs/>
          <w:sz w:val="28"/>
          <w:szCs w:val="28"/>
        </w:rPr>
      </w:pPr>
      <w:r w:rsidRPr="00FD10DB">
        <w:rPr>
          <w:rFonts w:ascii="Calibri" w:hAnsi="Calibri" w:cs="Calibri"/>
          <w:b/>
          <w:bCs/>
          <w:sz w:val="28"/>
          <w:szCs w:val="28"/>
        </w:rPr>
        <w:lastRenderedPageBreak/>
        <w:t>Executive Summary</w:t>
      </w:r>
    </w:p>
    <w:p w14:paraId="251CD7AB" w14:textId="77777777" w:rsidR="00837ED6" w:rsidRPr="00FD10DB" w:rsidRDefault="00837ED6" w:rsidP="00837ED6">
      <w:pPr>
        <w:jc w:val="center"/>
        <w:rPr>
          <w:rFonts w:ascii="Calibri" w:hAnsi="Calibri" w:cs="Calibri"/>
          <w:b/>
          <w:bCs/>
          <w:sz w:val="28"/>
          <w:szCs w:val="28"/>
        </w:rPr>
      </w:pPr>
    </w:p>
    <w:p w14:paraId="429B572B" w14:textId="77777777" w:rsidR="00FD10DB" w:rsidRPr="00FD10DB" w:rsidRDefault="00FD10DB" w:rsidP="00FD10DB">
      <w:pPr>
        <w:rPr>
          <w:rFonts w:ascii="Calibri" w:hAnsi="Calibri" w:cs="Calibri"/>
        </w:rPr>
      </w:pPr>
      <w:r w:rsidRPr="00FD10DB">
        <w:rPr>
          <w:rFonts w:ascii="Calibri" w:hAnsi="Calibri" w:cs="Calibri"/>
        </w:rPr>
        <w:t>The COVID-19 pandemic significantly affected New York State, a densely populated region that became one of the earliest epicenters in the United States. This project aims to understand the trajectory of the pandemic by analyzing hospitalization rates, fatalities, vaccination efforts, and healthcare infrastructure across key counties, including Kings, Queens, and New York County. The data used in this analysis were sourced from the New York State Health Department and cover critical periods, from the initial outbreak in 2020 to subsequent vaccination rollouts.</w:t>
      </w:r>
    </w:p>
    <w:p w14:paraId="5C6BDBCF" w14:textId="7AC75FAA" w:rsidR="00FD10DB" w:rsidRPr="00FD10DB" w:rsidRDefault="00837ED6" w:rsidP="00FD10DB">
      <w:pPr>
        <w:rPr>
          <w:rFonts w:ascii="Calibri" w:hAnsi="Calibri" w:cs="Calibri"/>
        </w:rPr>
      </w:pPr>
      <w:r>
        <w:rPr>
          <w:rFonts w:ascii="Calibri" w:hAnsi="Calibri" w:cs="Calibri"/>
        </w:rPr>
        <w:t>This project explores five hypotheses through detailed statistical analysis and data visualization</w:t>
      </w:r>
      <w:r w:rsidR="00FD10DB" w:rsidRPr="00FD10DB">
        <w:rPr>
          <w:rFonts w:ascii="Calibri" w:hAnsi="Calibri" w:cs="Calibri"/>
        </w:rPr>
        <w:t xml:space="preserve"> to identify patterns and correlations among these variables. The findings reveal critical insights into how age, vaccination rates, and healthcare capacity shaped outcomes during the pandemic. Specifically, individuals aged 65 and older were disproportionately affected, experiencing the highest hospitalization and fatality rates compared to other age groups. This underscores the importance of targeted public health interventions for vulnerable populations during health crises.</w:t>
      </w:r>
    </w:p>
    <w:p w14:paraId="30DC84E5" w14:textId="502B1BEE" w:rsidR="00FD10DB" w:rsidRPr="00FD10DB" w:rsidRDefault="00FD10DB" w:rsidP="00FD10DB">
      <w:pPr>
        <w:rPr>
          <w:rFonts w:ascii="Calibri" w:hAnsi="Calibri" w:cs="Calibri"/>
        </w:rPr>
      </w:pPr>
      <w:r w:rsidRPr="00FD10DB">
        <w:rPr>
          <w:rFonts w:ascii="Calibri" w:hAnsi="Calibri" w:cs="Calibri"/>
        </w:rPr>
        <w:t>Vaccination campaigns emerged as a pivotal factor in reducing the burden on healthcare systems, particularly ICU bed occupancy. Counties with higher vaccination rates reported fewer newly occupied ICU beds, highlighting the efficacy of vaccines in preventing severe cases. However, the study also found that first-dose vaccination rates did not strongly predict hospitalization trends in subsequent quarters</w:t>
      </w:r>
      <w:r w:rsidR="00837ED6">
        <w:rPr>
          <w:rFonts w:ascii="Calibri" w:hAnsi="Calibri" w:cs="Calibri"/>
        </w:rPr>
        <w:t>. This suggests</w:t>
      </w:r>
      <w:r w:rsidRPr="00FD10DB">
        <w:rPr>
          <w:rFonts w:ascii="Calibri" w:hAnsi="Calibri" w:cs="Calibri"/>
        </w:rPr>
        <w:t xml:space="preserve"> that other factors, such as virus variants and individual health behaviors, played significant roles in driving hospital admissions.</w:t>
      </w:r>
    </w:p>
    <w:p w14:paraId="16E2FFDD" w14:textId="77777777" w:rsidR="00FD10DB" w:rsidRPr="00FD10DB" w:rsidRDefault="00FD10DB" w:rsidP="00FD10DB">
      <w:pPr>
        <w:rPr>
          <w:rFonts w:ascii="Calibri" w:hAnsi="Calibri" w:cs="Calibri"/>
        </w:rPr>
      </w:pPr>
      <w:r w:rsidRPr="00FD10DB">
        <w:rPr>
          <w:rFonts w:ascii="Calibri" w:hAnsi="Calibri" w:cs="Calibri"/>
        </w:rPr>
        <w:t>Healthcare infrastructure, particularly the availability of staffed acute care beds, was another critical factor influencing outcomes. Facilities with more staffed beds demonstrated higher patient discharge rates, reflecting their capacity to provide timely and effective care during surges in demand. This finding emphasizes the need for robust healthcare resource planning to mitigate the impact of future pandemics.</w:t>
      </w:r>
    </w:p>
    <w:p w14:paraId="1D7E7D61" w14:textId="5879D16F" w:rsidR="00FD10DB" w:rsidRPr="00FD10DB" w:rsidRDefault="00FD10DB" w:rsidP="00FD10DB">
      <w:pPr>
        <w:rPr>
          <w:rFonts w:ascii="Calibri" w:hAnsi="Calibri" w:cs="Calibri"/>
        </w:rPr>
      </w:pPr>
      <w:r w:rsidRPr="00FD10DB">
        <w:rPr>
          <w:rFonts w:ascii="Calibri" w:hAnsi="Calibri" w:cs="Calibri"/>
        </w:rPr>
        <w:t xml:space="preserve">In summary, this project </w:t>
      </w:r>
      <w:r w:rsidR="00837ED6">
        <w:rPr>
          <w:rFonts w:ascii="Calibri" w:hAnsi="Calibri" w:cs="Calibri"/>
        </w:rPr>
        <w:t>comprehensively analyzes</w:t>
      </w:r>
      <w:r w:rsidRPr="00FD10DB">
        <w:rPr>
          <w:rFonts w:ascii="Calibri" w:hAnsi="Calibri" w:cs="Calibri"/>
        </w:rPr>
        <w:t xml:space="preserve"> COVID-19 dynamics in New York State, offering valuable lessons for public health policymakers, healthcare administrators, and researchers. The findings emphasize prioritizing vulnerable populations, strengthening healthcare systems, and sustaining vaccination efforts to better prepare for future health emergencies. These insights </w:t>
      </w:r>
      <w:r w:rsidR="00837ED6">
        <w:rPr>
          <w:rFonts w:ascii="Calibri" w:hAnsi="Calibri" w:cs="Calibri"/>
        </w:rPr>
        <w:t>contribute to understanding the pandemic’s impact and</w:t>
      </w:r>
      <w:r w:rsidRPr="00FD10DB">
        <w:rPr>
          <w:rFonts w:ascii="Calibri" w:hAnsi="Calibri" w:cs="Calibri"/>
        </w:rPr>
        <w:t xml:space="preserve"> serve as a guide for enhancing resilience in the face of similar challenges.</w:t>
      </w:r>
    </w:p>
    <w:p w14:paraId="6F1C9D26" w14:textId="52212F94" w:rsidR="00FD10DB" w:rsidRPr="00FD10DB" w:rsidRDefault="00FD10DB" w:rsidP="00FD10DB"/>
    <w:p w14:paraId="2BFEDA48" w14:textId="77777777" w:rsidR="00FD10DB" w:rsidRDefault="00FD10DB" w:rsidP="00FD10DB">
      <w:pPr>
        <w:rPr>
          <w:b/>
          <w:bCs/>
        </w:rPr>
      </w:pPr>
    </w:p>
    <w:p w14:paraId="480462FD" w14:textId="77777777" w:rsidR="00FD10DB" w:rsidRDefault="00FD10DB" w:rsidP="00FD10DB">
      <w:pPr>
        <w:rPr>
          <w:b/>
          <w:bCs/>
        </w:rPr>
      </w:pPr>
    </w:p>
    <w:p w14:paraId="6AC1E725" w14:textId="77777777" w:rsidR="00FD10DB" w:rsidRDefault="00FD10DB" w:rsidP="00FD10DB">
      <w:pPr>
        <w:rPr>
          <w:b/>
          <w:bCs/>
        </w:rPr>
      </w:pPr>
    </w:p>
    <w:p w14:paraId="01E0858D" w14:textId="77777777" w:rsidR="00FD10DB" w:rsidRDefault="00FD10DB" w:rsidP="00FD10DB">
      <w:pPr>
        <w:rPr>
          <w:b/>
          <w:bCs/>
        </w:rPr>
      </w:pPr>
    </w:p>
    <w:p w14:paraId="2E0271FA" w14:textId="77777777" w:rsidR="00FD10DB" w:rsidRDefault="00FD10DB" w:rsidP="00FD10DB">
      <w:pPr>
        <w:rPr>
          <w:b/>
          <w:bCs/>
        </w:rPr>
      </w:pPr>
    </w:p>
    <w:p w14:paraId="1AF42954" w14:textId="5DFFC399" w:rsidR="00787D05" w:rsidRPr="00787D05" w:rsidRDefault="00787D05" w:rsidP="00787D05">
      <w:pPr>
        <w:jc w:val="center"/>
        <w:rPr>
          <w:rFonts w:ascii="Calibri" w:hAnsi="Calibri" w:cs="Calibri"/>
          <w:b/>
          <w:bCs/>
          <w:sz w:val="28"/>
          <w:szCs w:val="28"/>
        </w:rPr>
      </w:pPr>
      <w:r w:rsidRPr="00787D05">
        <w:rPr>
          <w:rFonts w:ascii="Calibri" w:hAnsi="Calibri" w:cs="Calibri"/>
          <w:b/>
          <w:bCs/>
          <w:sz w:val="28"/>
          <w:szCs w:val="28"/>
        </w:rPr>
        <w:lastRenderedPageBreak/>
        <w:t>Index</w:t>
      </w:r>
    </w:p>
    <w:p w14:paraId="6B2E4E81" w14:textId="77777777" w:rsidR="00787D05" w:rsidRDefault="00787D05" w:rsidP="00787D05">
      <w:pPr>
        <w:ind w:left="720"/>
        <w:rPr>
          <w:rFonts w:ascii="Calibri" w:hAnsi="Calibri" w:cs="Calibri"/>
        </w:rPr>
      </w:pPr>
    </w:p>
    <w:p w14:paraId="23E24027" w14:textId="6B20FA46" w:rsidR="00787D05" w:rsidRPr="00787D05" w:rsidRDefault="00787D05" w:rsidP="00787D05">
      <w:pPr>
        <w:numPr>
          <w:ilvl w:val="0"/>
          <w:numId w:val="34"/>
        </w:numPr>
        <w:rPr>
          <w:rFonts w:ascii="Calibri" w:hAnsi="Calibri" w:cs="Calibri"/>
        </w:rPr>
      </w:pPr>
      <w:r w:rsidRPr="00787D05">
        <w:rPr>
          <w:rFonts w:ascii="Calibri" w:hAnsi="Calibri" w:cs="Calibri"/>
        </w:rPr>
        <w:t>Executive Summary</w:t>
      </w:r>
    </w:p>
    <w:p w14:paraId="39C3DA55" w14:textId="77777777" w:rsidR="00787D05" w:rsidRPr="00787D05" w:rsidRDefault="00787D05" w:rsidP="00787D05">
      <w:pPr>
        <w:numPr>
          <w:ilvl w:val="0"/>
          <w:numId w:val="34"/>
        </w:numPr>
        <w:rPr>
          <w:rFonts w:ascii="Calibri" w:hAnsi="Calibri" w:cs="Calibri"/>
        </w:rPr>
      </w:pPr>
      <w:r w:rsidRPr="00787D05">
        <w:rPr>
          <w:rFonts w:ascii="Calibri" w:hAnsi="Calibri" w:cs="Calibri"/>
        </w:rPr>
        <w:t>Introduction</w:t>
      </w:r>
    </w:p>
    <w:p w14:paraId="299BB144" w14:textId="77777777" w:rsidR="00787D05" w:rsidRPr="00787D05" w:rsidRDefault="00787D05" w:rsidP="00787D05">
      <w:pPr>
        <w:numPr>
          <w:ilvl w:val="0"/>
          <w:numId w:val="34"/>
        </w:numPr>
        <w:rPr>
          <w:rFonts w:ascii="Calibri" w:hAnsi="Calibri" w:cs="Calibri"/>
        </w:rPr>
      </w:pPr>
      <w:r w:rsidRPr="00787D05">
        <w:rPr>
          <w:rFonts w:ascii="Calibri" w:hAnsi="Calibri" w:cs="Calibri"/>
        </w:rPr>
        <w:t>Data Overview</w:t>
      </w:r>
    </w:p>
    <w:p w14:paraId="54EC54FE" w14:textId="77777777" w:rsidR="00787D05" w:rsidRPr="00787D05" w:rsidRDefault="00787D05" w:rsidP="00787D05">
      <w:pPr>
        <w:numPr>
          <w:ilvl w:val="0"/>
          <w:numId w:val="34"/>
        </w:numPr>
        <w:rPr>
          <w:rFonts w:ascii="Calibri" w:hAnsi="Calibri" w:cs="Calibri"/>
        </w:rPr>
      </w:pPr>
      <w:r w:rsidRPr="00787D05">
        <w:rPr>
          <w:rFonts w:ascii="Calibri" w:hAnsi="Calibri" w:cs="Calibri"/>
        </w:rPr>
        <w:t>Data Processing</w:t>
      </w:r>
    </w:p>
    <w:p w14:paraId="09858592" w14:textId="77777777" w:rsidR="00787D05" w:rsidRPr="00787D05" w:rsidRDefault="00787D05" w:rsidP="00787D05">
      <w:pPr>
        <w:numPr>
          <w:ilvl w:val="0"/>
          <w:numId w:val="34"/>
        </w:numPr>
        <w:rPr>
          <w:rFonts w:ascii="Calibri" w:hAnsi="Calibri" w:cs="Calibri"/>
        </w:rPr>
      </w:pPr>
      <w:r w:rsidRPr="00787D05">
        <w:rPr>
          <w:rFonts w:ascii="Calibri" w:hAnsi="Calibri" w:cs="Calibri"/>
        </w:rPr>
        <w:t xml:space="preserve">Hypotheses and Findings </w:t>
      </w:r>
    </w:p>
    <w:p w14:paraId="6261D7BA" w14:textId="2A1AE2F6" w:rsidR="00787D05" w:rsidRPr="00787D05" w:rsidRDefault="00787D05" w:rsidP="00787D05">
      <w:pPr>
        <w:pStyle w:val="ListParagraph"/>
        <w:numPr>
          <w:ilvl w:val="0"/>
          <w:numId w:val="36"/>
        </w:numPr>
        <w:rPr>
          <w:rFonts w:ascii="Calibri" w:hAnsi="Calibri" w:cs="Calibri"/>
        </w:rPr>
      </w:pPr>
      <w:r w:rsidRPr="00787D05">
        <w:rPr>
          <w:rFonts w:ascii="Calibri" w:hAnsi="Calibri" w:cs="Calibri"/>
        </w:rPr>
        <w:t xml:space="preserve">Hypothesis-1: </w:t>
      </w:r>
      <w:r w:rsidRPr="00787D05">
        <w:rPr>
          <w:rFonts w:ascii="Calibri" w:hAnsi="Calibri" w:cs="Calibri"/>
        </w:rPr>
        <w:t>Age and Hospitalization</w:t>
      </w:r>
    </w:p>
    <w:p w14:paraId="5E9DE26B" w14:textId="02419457" w:rsidR="00787D05" w:rsidRPr="00787D05" w:rsidRDefault="00787D05" w:rsidP="00787D05">
      <w:pPr>
        <w:pStyle w:val="ListParagraph"/>
        <w:numPr>
          <w:ilvl w:val="0"/>
          <w:numId w:val="36"/>
        </w:numPr>
        <w:rPr>
          <w:rFonts w:ascii="Calibri" w:hAnsi="Calibri" w:cs="Calibri"/>
        </w:rPr>
      </w:pPr>
      <w:r w:rsidRPr="00787D05">
        <w:rPr>
          <w:rFonts w:ascii="Calibri" w:hAnsi="Calibri" w:cs="Calibri"/>
        </w:rPr>
        <w:t>Hypothesis-</w:t>
      </w:r>
      <w:r w:rsidRPr="00787D05">
        <w:rPr>
          <w:rFonts w:ascii="Calibri" w:hAnsi="Calibri" w:cs="Calibri"/>
        </w:rPr>
        <w:t>2</w:t>
      </w:r>
      <w:r w:rsidRPr="00787D05">
        <w:rPr>
          <w:rFonts w:ascii="Calibri" w:hAnsi="Calibri" w:cs="Calibri"/>
        </w:rPr>
        <w:t>:</w:t>
      </w:r>
      <w:r w:rsidRPr="00787D05">
        <w:rPr>
          <w:rFonts w:ascii="Calibri" w:hAnsi="Calibri" w:cs="Calibri"/>
        </w:rPr>
        <w:t xml:space="preserve"> </w:t>
      </w:r>
      <w:r w:rsidRPr="00787D05">
        <w:rPr>
          <w:rFonts w:ascii="Calibri" w:hAnsi="Calibri" w:cs="Calibri"/>
        </w:rPr>
        <w:t>Vaccinations and ICU Beds</w:t>
      </w:r>
    </w:p>
    <w:p w14:paraId="6A0419A1" w14:textId="63919946" w:rsidR="00787D05" w:rsidRPr="00787D05" w:rsidRDefault="00787D05" w:rsidP="00787D05">
      <w:pPr>
        <w:pStyle w:val="ListParagraph"/>
        <w:numPr>
          <w:ilvl w:val="0"/>
          <w:numId w:val="36"/>
        </w:numPr>
        <w:rPr>
          <w:rFonts w:ascii="Calibri" w:hAnsi="Calibri" w:cs="Calibri"/>
        </w:rPr>
      </w:pPr>
      <w:r w:rsidRPr="00787D05">
        <w:rPr>
          <w:rFonts w:ascii="Calibri" w:hAnsi="Calibri" w:cs="Calibri"/>
        </w:rPr>
        <w:t>Hypothesis-</w:t>
      </w:r>
      <w:r w:rsidRPr="00787D05">
        <w:rPr>
          <w:rFonts w:ascii="Calibri" w:hAnsi="Calibri" w:cs="Calibri"/>
        </w:rPr>
        <w:t>3</w:t>
      </w:r>
      <w:r w:rsidRPr="00787D05">
        <w:rPr>
          <w:rFonts w:ascii="Calibri" w:hAnsi="Calibri" w:cs="Calibri"/>
        </w:rPr>
        <w:t>:</w:t>
      </w:r>
      <w:r w:rsidRPr="00787D05">
        <w:rPr>
          <w:rFonts w:ascii="Calibri" w:hAnsi="Calibri" w:cs="Calibri"/>
        </w:rPr>
        <w:t xml:space="preserve"> </w:t>
      </w:r>
      <w:r w:rsidRPr="00787D05">
        <w:rPr>
          <w:rFonts w:ascii="Calibri" w:hAnsi="Calibri" w:cs="Calibri"/>
        </w:rPr>
        <w:t>Case Fatality Correlation</w:t>
      </w:r>
    </w:p>
    <w:p w14:paraId="3A5831DF" w14:textId="3C8B1BB0" w:rsidR="00787D05" w:rsidRPr="00787D05" w:rsidRDefault="00787D05" w:rsidP="00787D05">
      <w:pPr>
        <w:pStyle w:val="ListParagraph"/>
        <w:numPr>
          <w:ilvl w:val="0"/>
          <w:numId w:val="36"/>
        </w:numPr>
        <w:rPr>
          <w:rFonts w:ascii="Calibri" w:hAnsi="Calibri" w:cs="Calibri"/>
        </w:rPr>
      </w:pPr>
      <w:r w:rsidRPr="00787D05">
        <w:rPr>
          <w:rFonts w:ascii="Calibri" w:hAnsi="Calibri" w:cs="Calibri"/>
        </w:rPr>
        <w:t>Hypothesis-</w:t>
      </w:r>
      <w:r w:rsidRPr="00787D05">
        <w:rPr>
          <w:rFonts w:ascii="Calibri" w:hAnsi="Calibri" w:cs="Calibri"/>
        </w:rPr>
        <w:t>4</w:t>
      </w:r>
      <w:r w:rsidRPr="00787D05">
        <w:rPr>
          <w:rFonts w:ascii="Calibri" w:hAnsi="Calibri" w:cs="Calibri"/>
        </w:rPr>
        <w:t>:</w:t>
      </w:r>
      <w:r w:rsidRPr="00787D05">
        <w:rPr>
          <w:rFonts w:ascii="Calibri" w:hAnsi="Calibri" w:cs="Calibri"/>
        </w:rPr>
        <w:t xml:space="preserve"> </w:t>
      </w:r>
      <w:r w:rsidRPr="00787D05">
        <w:rPr>
          <w:rFonts w:ascii="Calibri" w:hAnsi="Calibri" w:cs="Calibri"/>
        </w:rPr>
        <w:t>Vaccination Trends and Hospitalization</w:t>
      </w:r>
    </w:p>
    <w:p w14:paraId="647DFF91" w14:textId="28F9AF25" w:rsidR="00787D05" w:rsidRPr="00787D05" w:rsidRDefault="00787D05" w:rsidP="00787D05">
      <w:pPr>
        <w:pStyle w:val="ListParagraph"/>
        <w:numPr>
          <w:ilvl w:val="0"/>
          <w:numId w:val="36"/>
        </w:numPr>
        <w:rPr>
          <w:rFonts w:ascii="Calibri" w:hAnsi="Calibri" w:cs="Calibri"/>
        </w:rPr>
      </w:pPr>
      <w:r w:rsidRPr="00787D05">
        <w:rPr>
          <w:rFonts w:ascii="Calibri" w:hAnsi="Calibri" w:cs="Calibri"/>
        </w:rPr>
        <w:t>Hypothesis-</w:t>
      </w:r>
      <w:r w:rsidRPr="00787D05">
        <w:rPr>
          <w:rFonts w:ascii="Calibri" w:hAnsi="Calibri" w:cs="Calibri"/>
        </w:rPr>
        <w:t>5</w:t>
      </w:r>
      <w:r w:rsidRPr="00787D05">
        <w:rPr>
          <w:rFonts w:ascii="Calibri" w:hAnsi="Calibri" w:cs="Calibri"/>
        </w:rPr>
        <w:t>:</w:t>
      </w:r>
      <w:r w:rsidRPr="00787D05">
        <w:rPr>
          <w:rFonts w:ascii="Calibri" w:hAnsi="Calibri" w:cs="Calibri"/>
        </w:rPr>
        <w:t xml:space="preserve"> </w:t>
      </w:r>
      <w:r w:rsidRPr="00787D05">
        <w:rPr>
          <w:rFonts w:ascii="Calibri" w:hAnsi="Calibri" w:cs="Calibri"/>
        </w:rPr>
        <w:t>Bed Capacity and Discharges</w:t>
      </w:r>
    </w:p>
    <w:p w14:paraId="50C2496C" w14:textId="77777777" w:rsidR="00787D05" w:rsidRPr="00787D05" w:rsidRDefault="00787D05" w:rsidP="00787D05">
      <w:pPr>
        <w:numPr>
          <w:ilvl w:val="0"/>
          <w:numId w:val="34"/>
        </w:numPr>
        <w:rPr>
          <w:rFonts w:ascii="Calibri" w:hAnsi="Calibri" w:cs="Calibri"/>
        </w:rPr>
      </w:pPr>
      <w:r w:rsidRPr="00787D05">
        <w:rPr>
          <w:rFonts w:ascii="Calibri" w:hAnsi="Calibri" w:cs="Calibri"/>
        </w:rPr>
        <w:t>Key Insights</w:t>
      </w:r>
    </w:p>
    <w:p w14:paraId="488795B7" w14:textId="77777777" w:rsidR="00787D05" w:rsidRPr="00787D05" w:rsidRDefault="00787D05" w:rsidP="00787D05">
      <w:pPr>
        <w:numPr>
          <w:ilvl w:val="0"/>
          <w:numId w:val="34"/>
        </w:numPr>
        <w:rPr>
          <w:rFonts w:ascii="Calibri" w:hAnsi="Calibri" w:cs="Calibri"/>
        </w:rPr>
      </w:pPr>
      <w:r w:rsidRPr="00787D05">
        <w:rPr>
          <w:rFonts w:ascii="Calibri" w:hAnsi="Calibri" w:cs="Calibri"/>
        </w:rPr>
        <w:t>Conclusion</w:t>
      </w:r>
    </w:p>
    <w:p w14:paraId="14877363" w14:textId="77777777" w:rsidR="00787D05" w:rsidRPr="00787D05" w:rsidRDefault="00787D05" w:rsidP="00787D05">
      <w:pPr>
        <w:numPr>
          <w:ilvl w:val="0"/>
          <w:numId w:val="34"/>
        </w:numPr>
        <w:rPr>
          <w:rFonts w:ascii="Calibri" w:hAnsi="Calibri" w:cs="Calibri"/>
        </w:rPr>
      </w:pPr>
      <w:r w:rsidRPr="00787D05">
        <w:rPr>
          <w:rFonts w:ascii="Calibri" w:hAnsi="Calibri" w:cs="Calibri"/>
        </w:rPr>
        <w:t>References</w:t>
      </w:r>
    </w:p>
    <w:p w14:paraId="146CCD5C" w14:textId="4CFE7866" w:rsidR="00FD10DB" w:rsidRDefault="00FD10DB" w:rsidP="00FD10DB">
      <w:pPr>
        <w:rPr>
          <w:b/>
          <w:bCs/>
        </w:rPr>
      </w:pPr>
    </w:p>
    <w:p w14:paraId="34522F54" w14:textId="77777777" w:rsidR="00FD10DB" w:rsidRDefault="00FD10DB" w:rsidP="00FD10DB">
      <w:pPr>
        <w:rPr>
          <w:b/>
          <w:bCs/>
        </w:rPr>
      </w:pPr>
    </w:p>
    <w:p w14:paraId="0A26E345" w14:textId="77777777" w:rsidR="00FD10DB" w:rsidRDefault="00FD10DB" w:rsidP="00FD10DB">
      <w:pPr>
        <w:rPr>
          <w:b/>
          <w:bCs/>
        </w:rPr>
      </w:pPr>
    </w:p>
    <w:p w14:paraId="6C34DF79" w14:textId="77777777" w:rsidR="00FD10DB" w:rsidRDefault="00FD10DB" w:rsidP="00FD10DB">
      <w:pPr>
        <w:rPr>
          <w:b/>
          <w:bCs/>
        </w:rPr>
      </w:pPr>
    </w:p>
    <w:p w14:paraId="6FC8D35A" w14:textId="77777777" w:rsidR="00FD10DB" w:rsidRDefault="00FD10DB" w:rsidP="00FD10DB">
      <w:pPr>
        <w:rPr>
          <w:b/>
          <w:bCs/>
        </w:rPr>
      </w:pPr>
    </w:p>
    <w:p w14:paraId="54AB82C1" w14:textId="77777777" w:rsidR="00FD10DB" w:rsidRDefault="00FD10DB" w:rsidP="00FD10DB">
      <w:pPr>
        <w:rPr>
          <w:b/>
          <w:bCs/>
        </w:rPr>
      </w:pPr>
    </w:p>
    <w:p w14:paraId="4818F8F4" w14:textId="77777777" w:rsidR="00FD10DB" w:rsidRDefault="00FD10DB" w:rsidP="00FD10DB">
      <w:pPr>
        <w:rPr>
          <w:b/>
          <w:bCs/>
        </w:rPr>
      </w:pPr>
    </w:p>
    <w:p w14:paraId="655350EA" w14:textId="77777777" w:rsidR="00FD10DB" w:rsidRDefault="00FD10DB" w:rsidP="00FD10DB">
      <w:pPr>
        <w:rPr>
          <w:b/>
          <w:bCs/>
        </w:rPr>
      </w:pPr>
    </w:p>
    <w:p w14:paraId="59A2CA44" w14:textId="77777777" w:rsidR="00FD10DB" w:rsidRDefault="00FD10DB" w:rsidP="00FD10DB">
      <w:pPr>
        <w:rPr>
          <w:b/>
          <w:bCs/>
        </w:rPr>
      </w:pPr>
    </w:p>
    <w:p w14:paraId="28167252" w14:textId="77777777" w:rsidR="00FD10DB" w:rsidRDefault="00FD10DB" w:rsidP="00FD10DB">
      <w:pPr>
        <w:rPr>
          <w:b/>
          <w:bCs/>
        </w:rPr>
      </w:pPr>
    </w:p>
    <w:p w14:paraId="43E6DD57" w14:textId="77777777" w:rsidR="00FD10DB" w:rsidRDefault="00FD10DB" w:rsidP="00FD10DB">
      <w:pPr>
        <w:rPr>
          <w:b/>
          <w:bCs/>
        </w:rPr>
      </w:pPr>
    </w:p>
    <w:p w14:paraId="6DBB4774" w14:textId="77777777" w:rsidR="00FD10DB" w:rsidRDefault="00FD10DB" w:rsidP="00FD10DB">
      <w:pPr>
        <w:rPr>
          <w:b/>
          <w:bCs/>
        </w:rPr>
      </w:pPr>
    </w:p>
    <w:p w14:paraId="5CDD5270" w14:textId="77777777" w:rsidR="00FD10DB" w:rsidRDefault="00FD10DB" w:rsidP="00FD10DB">
      <w:pPr>
        <w:rPr>
          <w:b/>
          <w:bCs/>
        </w:rPr>
      </w:pPr>
    </w:p>
    <w:p w14:paraId="59F2552F" w14:textId="77777777" w:rsidR="00FD10DB" w:rsidRDefault="00FD10DB" w:rsidP="00FD10DB">
      <w:pPr>
        <w:rPr>
          <w:b/>
          <w:bCs/>
        </w:rPr>
      </w:pPr>
    </w:p>
    <w:p w14:paraId="07A5BCDF" w14:textId="77777777" w:rsidR="00FD10DB" w:rsidRDefault="00FD10DB" w:rsidP="00FD10DB">
      <w:pPr>
        <w:rPr>
          <w:b/>
          <w:bCs/>
        </w:rPr>
      </w:pPr>
    </w:p>
    <w:p w14:paraId="2E29889A" w14:textId="77777777" w:rsidR="00837ED6" w:rsidRDefault="00837ED6" w:rsidP="00837ED6">
      <w:pPr>
        <w:jc w:val="center"/>
        <w:rPr>
          <w:rFonts w:ascii="Calibri" w:hAnsi="Calibri" w:cs="Calibri"/>
          <w:b/>
          <w:bCs/>
          <w:sz w:val="28"/>
          <w:szCs w:val="28"/>
        </w:rPr>
      </w:pPr>
      <w:r w:rsidRPr="00837ED6">
        <w:rPr>
          <w:rFonts w:ascii="Calibri" w:hAnsi="Calibri" w:cs="Calibri"/>
          <w:b/>
          <w:bCs/>
          <w:sz w:val="28"/>
          <w:szCs w:val="28"/>
        </w:rPr>
        <w:lastRenderedPageBreak/>
        <w:t>General Introduction</w:t>
      </w:r>
    </w:p>
    <w:p w14:paraId="19BF4F45" w14:textId="77777777" w:rsidR="00837ED6" w:rsidRPr="00837ED6" w:rsidRDefault="00837ED6" w:rsidP="00837ED6">
      <w:pPr>
        <w:jc w:val="center"/>
        <w:rPr>
          <w:rFonts w:ascii="Calibri" w:hAnsi="Calibri" w:cs="Calibri"/>
          <w:b/>
          <w:bCs/>
          <w:sz w:val="28"/>
          <w:szCs w:val="28"/>
        </w:rPr>
      </w:pPr>
    </w:p>
    <w:p w14:paraId="0A6A54AA" w14:textId="77777777" w:rsidR="00837ED6" w:rsidRPr="00837ED6" w:rsidRDefault="00837ED6" w:rsidP="00837ED6">
      <w:pPr>
        <w:rPr>
          <w:rFonts w:ascii="Calibri" w:hAnsi="Calibri" w:cs="Calibri"/>
        </w:rPr>
      </w:pPr>
      <w:r w:rsidRPr="00837ED6">
        <w:rPr>
          <w:rFonts w:ascii="Calibri" w:hAnsi="Calibri" w:cs="Calibri"/>
        </w:rPr>
        <w:t>The COVID-19 pandemic, caused by the SARS-CoV-2 virus, represented one of the most significant public health crises of the 21st century. Its global impact has been profound, disrupting economies, overwhelming healthcare systems, and causing widespread social challenges. In the United States, New York State emerged as a critical hotspot during the early stages of the pandemic due to its dense population, interconnected transportation systems, and global prominence as a travel hub. The pandemic exposed systemic vulnerabilities in healthcare infrastructure while also demonstrating the resilience and adaptability of public health responses.</w:t>
      </w:r>
    </w:p>
    <w:p w14:paraId="2C3EB3A2" w14:textId="77777777" w:rsidR="00837ED6" w:rsidRPr="00837ED6" w:rsidRDefault="00837ED6" w:rsidP="00837ED6">
      <w:pPr>
        <w:rPr>
          <w:rFonts w:ascii="Calibri" w:hAnsi="Calibri" w:cs="Calibri"/>
        </w:rPr>
      </w:pPr>
      <w:r w:rsidRPr="00837ED6">
        <w:rPr>
          <w:rFonts w:ascii="Calibri" w:hAnsi="Calibri" w:cs="Calibri"/>
        </w:rPr>
        <w:t>This project focuses on analyzing COVID-19 data in New York State, with a specific emphasis on metrics such as hospitalization rates, fatality counts, and vaccination efforts. By examining these factors, the study aims to provide a comprehensive understanding of the pandemic's trajectory and its implications for public health policy and healthcare planning.</w:t>
      </w:r>
    </w:p>
    <w:p w14:paraId="7C7E1854" w14:textId="77777777" w:rsidR="00837ED6" w:rsidRPr="00837ED6" w:rsidRDefault="00837ED6" w:rsidP="00837ED6">
      <w:pPr>
        <w:rPr>
          <w:rFonts w:ascii="Calibri" w:hAnsi="Calibri" w:cs="Calibri"/>
        </w:rPr>
      </w:pPr>
      <w:r w:rsidRPr="00837ED6">
        <w:rPr>
          <w:rFonts w:ascii="Calibri" w:hAnsi="Calibri" w:cs="Calibri"/>
        </w:rPr>
        <w:t>Key objectives of this project include:</w:t>
      </w:r>
    </w:p>
    <w:p w14:paraId="0C783D7D" w14:textId="77777777" w:rsidR="00837ED6" w:rsidRPr="00837ED6" w:rsidRDefault="00837ED6" w:rsidP="00837ED6">
      <w:pPr>
        <w:numPr>
          <w:ilvl w:val="0"/>
          <w:numId w:val="9"/>
        </w:numPr>
        <w:rPr>
          <w:rFonts w:ascii="Calibri" w:hAnsi="Calibri" w:cs="Calibri"/>
        </w:rPr>
      </w:pPr>
      <w:r w:rsidRPr="00837ED6">
        <w:rPr>
          <w:rFonts w:ascii="Calibri" w:hAnsi="Calibri" w:cs="Calibri"/>
          <w:b/>
          <w:bCs/>
        </w:rPr>
        <w:t>Identifying correlations and trends</w:t>
      </w:r>
      <w:r w:rsidRPr="00837ED6">
        <w:rPr>
          <w:rFonts w:ascii="Calibri" w:hAnsi="Calibri" w:cs="Calibri"/>
        </w:rPr>
        <w:t>: The analysis seeks to uncover meaningful relationships between key metrics, such as the link between vaccination rates and ICU admissions or the connection between infection rates and fatalities.</w:t>
      </w:r>
    </w:p>
    <w:p w14:paraId="7BDB9855" w14:textId="77777777" w:rsidR="00837ED6" w:rsidRPr="00837ED6" w:rsidRDefault="00837ED6" w:rsidP="00837ED6">
      <w:pPr>
        <w:numPr>
          <w:ilvl w:val="0"/>
          <w:numId w:val="9"/>
        </w:numPr>
        <w:rPr>
          <w:rFonts w:ascii="Calibri" w:hAnsi="Calibri" w:cs="Calibri"/>
        </w:rPr>
      </w:pPr>
      <w:r w:rsidRPr="00837ED6">
        <w:rPr>
          <w:rFonts w:ascii="Calibri" w:hAnsi="Calibri" w:cs="Calibri"/>
          <w:b/>
          <w:bCs/>
        </w:rPr>
        <w:t>Highlighting the pandemic’s impact on vulnerable populations</w:t>
      </w:r>
      <w:r w:rsidRPr="00837ED6">
        <w:rPr>
          <w:rFonts w:ascii="Calibri" w:hAnsi="Calibri" w:cs="Calibri"/>
        </w:rPr>
        <w:t>: By examining age-specific data, particularly for individuals aged 65 and older, the project explores how different demographics were disproportionately affected.</w:t>
      </w:r>
    </w:p>
    <w:p w14:paraId="326FF05D" w14:textId="77777777" w:rsidR="00837ED6" w:rsidRPr="00837ED6" w:rsidRDefault="00837ED6" w:rsidP="00837ED6">
      <w:pPr>
        <w:numPr>
          <w:ilvl w:val="0"/>
          <w:numId w:val="9"/>
        </w:numPr>
        <w:rPr>
          <w:rFonts w:ascii="Calibri" w:hAnsi="Calibri" w:cs="Calibri"/>
        </w:rPr>
      </w:pPr>
      <w:r w:rsidRPr="00837ED6">
        <w:rPr>
          <w:rFonts w:ascii="Calibri" w:hAnsi="Calibri" w:cs="Calibri"/>
          <w:b/>
          <w:bCs/>
        </w:rPr>
        <w:t>Assessing healthcare system responses</w:t>
      </w:r>
      <w:r w:rsidRPr="00837ED6">
        <w:rPr>
          <w:rFonts w:ascii="Calibri" w:hAnsi="Calibri" w:cs="Calibri"/>
        </w:rPr>
        <w:t>: This includes understanding the role of resource allocation, such as staffed acute care and ICU beds, in managing patient outcomes during surges.</w:t>
      </w:r>
    </w:p>
    <w:p w14:paraId="0B64E074" w14:textId="77777777" w:rsidR="00837ED6" w:rsidRPr="00837ED6" w:rsidRDefault="00837ED6" w:rsidP="00837ED6">
      <w:pPr>
        <w:numPr>
          <w:ilvl w:val="0"/>
          <w:numId w:val="9"/>
        </w:numPr>
        <w:rPr>
          <w:rFonts w:ascii="Calibri" w:hAnsi="Calibri" w:cs="Calibri"/>
        </w:rPr>
      </w:pPr>
      <w:r w:rsidRPr="00837ED6">
        <w:rPr>
          <w:rFonts w:ascii="Calibri" w:hAnsi="Calibri" w:cs="Calibri"/>
          <w:b/>
          <w:bCs/>
        </w:rPr>
        <w:t>Evaluating the efficacy of vaccination campaigns</w:t>
      </w:r>
      <w:r w:rsidRPr="00837ED6">
        <w:rPr>
          <w:rFonts w:ascii="Calibri" w:hAnsi="Calibri" w:cs="Calibri"/>
        </w:rPr>
        <w:t>: Statistical insights are used to measure the impact of vaccination efforts in reducing severe outcomes and alleviating the strain on healthcare infrastructure.</w:t>
      </w:r>
    </w:p>
    <w:p w14:paraId="38036C40" w14:textId="77777777" w:rsidR="00837ED6" w:rsidRPr="00837ED6" w:rsidRDefault="00837ED6" w:rsidP="00837ED6">
      <w:pPr>
        <w:rPr>
          <w:rFonts w:ascii="Calibri" w:hAnsi="Calibri" w:cs="Calibri"/>
        </w:rPr>
      </w:pPr>
      <w:r w:rsidRPr="00837ED6">
        <w:rPr>
          <w:rFonts w:ascii="Calibri" w:hAnsi="Calibri" w:cs="Calibri"/>
        </w:rPr>
        <w:t>The analysis leverages data visualization techniques to present findings in a clear and accessible manner, offering insights that are not only statistically robust but also actionable for stakeholders. By examining how New York State managed its response to COVID-19, this project sheds light on critical factors that shaped the course of the pandemic.</w:t>
      </w:r>
    </w:p>
    <w:p w14:paraId="765CB03C" w14:textId="77777777" w:rsidR="00837ED6" w:rsidRPr="00837ED6" w:rsidRDefault="00837ED6" w:rsidP="00837ED6">
      <w:pPr>
        <w:rPr>
          <w:rFonts w:ascii="Calibri" w:hAnsi="Calibri" w:cs="Calibri"/>
        </w:rPr>
      </w:pPr>
      <w:r w:rsidRPr="00837ED6">
        <w:rPr>
          <w:rFonts w:ascii="Calibri" w:hAnsi="Calibri" w:cs="Calibri"/>
        </w:rPr>
        <w:t>This study is timely and relevant, as the lessons learned from COVID-19 can inform preparedness for future public health emergencies. It underscores the importance of data-driven decision-making, the need to prioritize vulnerable populations, and the role of healthcare capacity in determining outcomes. The findings aim to contribute to a growing body of knowledge that supports more resilient healthcare systems and equitable public health strategies in the face of future crises.</w:t>
      </w:r>
    </w:p>
    <w:p w14:paraId="29A2D728" w14:textId="0797FA37" w:rsidR="00FD10DB" w:rsidRPr="00FD10DB" w:rsidRDefault="00FD10DB" w:rsidP="00FD10DB">
      <w:pPr>
        <w:rPr>
          <w:rFonts w:ascii="Calibri" w:hAnsi="Calibri" w:cs="Calibri"/>
        </w:rPr>
      </w:pPr>
    </w:p>
    <w:p w14:paraId="7668F640" w14:textId="77777777" w:rsidR="00FD10DB" w:rsidRDefault="00FD10DB" w:rsidP="00FD10DB">
      <w:pPr>
        <w:rPr>
          <w:b/>
          <w:bCs/>
        </w:rPr>
      </w:pPr>
    </w:p>
    <w:p w14:paraId="33D36A28" w14:textId="74DB0A2C" w:rsidR="00FD10DB" w:rsidRDefault="00FD10DB" w:rsidP="00FD10DB">
      <w:pPr>
        <w:rPr>
          <w:b/>
          <w:bCs/>
        </w:rPr>
      </w:pPr>
    </w:p>
    <w:p w14:paraId="4B3D66C4" w14:textId="77777777" w:rsidR="00837ED6" w:rsidRPr="00837ED6" w:rsidRDefault="00837ED6" w:rsidP="00837ED6">
      <w:pPr>
        <w:jc w:val="center"/>
        <w:rPr>
          <w:rFonts w:ascii="Calibri" w:hAnsi="Calibri" w:cs="Calibri"/>
          <w:b/>
          <w:bCs/>
          <w:sz w:val="28"/>
          <w:szCs w:val="28"/>
        </w:rPr>
      </w:pPr>
      <w:r w:rsidRPr="00837ED6">
        <w:rPr>
          <w:rFonts w:ascii="Calibri" w:hAnsi="Calibri" w:cs="Calibri"/>
          <w:b/>
          <w:bCs/>
          <w:sz w:val="28"/>
          <w:szCs w:val="28"/>
        </w:rPr>
        <w:lastRenderedPageBreak/>
        <w:t>Data Description</w:t>
      </w:r>
    </w:p>
    <w:p w14:paraId="0D9C5C40" w14:textId="77777777" w:rsidR="00837ED6" w:rsidRPr="00837ED6" w:rsidRDefault="00837ED6" w:rsidP="00837ED6">
      <w:pPr>
        <w:rPr>
          <w:rFonts w:ascii="Calibri" w:hAnsi="Calibri" w:cs="Calibri"/>
        </w:rPr>
      </w:pPr>
      <w:r w:rsidRPr="00837ED6">
        <w:rPr>
          <w:rFonts w:ascii="Calibri" w:hAnsi="Calibri" w:cs="Calibri"/>
        </w:rPr>
        <w:t>The analysis is based on a comprehensive dataset that provides insights into the evolution of COVID-19 in New York State. The data spans critical aspects of the pandemic, offering detailed metrics to analyze trends, correlations, and the impact of various public health measures. The dataset includes:</w:t>
      </w:r>
    </w:p>
    <w:p w14:paraId="428BBE12" w14:textId="010C4663" w:rsidR="00837ED6" w:rsidRPr="00837ED6" w:rsidRDefault="00837ED6" w:rsidP="00837ED6">
      <w:pPr>
        <w:numPr>
          <w:ilvl w:val="0"/>
          <w:numId w:val="10"/>
        </w:numPr>
        <w:rPr>
          <w:rFonts w:ascii="Calibri" w:hAnsi="Calibri" w:cs="Calibri"/>
        </w:rPr>
      </w:pPr>
      <w:r w:rsidRPr="00837ED6">
        <w:rPr>
          <w:rFonts w:ascii="Calibri" w:hAnsi="Calibri" w:cs="Calibri"/>
          <w:b/>
          <w:bCs/>
        </w:rPr>
        <w:t>Hospitalizations</w:t>
      </w:r>
      <w:r w:rsidRPr="00837ED6">
        <w:rPr>
          <w:rFonts w:ascii="Calibri" w:hAnsi="Calibri" w:cs="Calibri"/>
        </w:rPr>
        <w:t xml:space="preserve">: Daily and weekly counts of hospital admissions, segmented by age groups (e.g., 0–18, 19–64, 65+ years) and categorized by </w:t>
      </w:r>
      <w:r>
        <w:rPr>
          <w:rFonts w:ascii="Calibri" w:hAnsi="Calibri" w:cs="Calibri"/>
        </w:rPr>
        <w:t>periods</w:t>
      </w:r>
      <w:r w:rsidRPr="00837ED6">
        <w:rPr>
          <w:rFonts w:ascii="Calibri" w:hAnsi="Calibri" w:cs="Calibri"/>
        </w:rPr>
        <w:t xml:space="preserve"> to track trends during different waves of the pandemic.</w:t>
      </w:r>
    </w:p>
    <w:p w14:paraId="06078292" w14:textId="77777777" w:rsidR="00837ED6" w:rsidRPr="00837ED6" w:rsidRDefault="00837ED6" w:rsidP="00837ED6">
      <w:pPr>
        <w:numPr>
          <w:ilvl w:val="0"/>
          <w:numId w:val="10"/>
        </w:numPr>
        <w:rPr>
          <w:rFonts w:ascii="Calibri" w:hAnsi="Calibri" w:cs="Calibri"/>
        </w:rPr>
      </w:pPr>
      <w:r w:rsidRPr="00837ED6">
        <w:rPr>
          <w:rFonts w:ascii="Calibri" w:hAnsi="Calibri" w:cs="Calibri"/>
          <w:b/>
          <w:bCs/>
        </w:rPr>
        <w:t>Fatalities</w:t>
      </w:r>
      <w:r w:rsidRPr="00837ED6">
        <w:rPr>
          <w:rFonts w:ascii="Calibri" w:hAnsi="Calibri" w:cs="Calibri"/>
        </w:rPr>
        <w:t>: County-level mortality data, detailing the number of deaths associated with COVID-19, including demographic breakdowns where available.</w:t>
      </w:r>
    </w:p>
    <w:p w14:paraId="6928E032" w14:textId="685DF555" w:rsidR="00837ED6" w:rsidRPr="00837ED6" w:rsidRDefault="00837ED6" w:rsidP="00837ED6">
      <w:pPr>
        <w:numPr>
          <w:ilvl w:val="0"/>
          <w:numId w:val="10"/>
        </w:numPr>
        <w:rPr>
          <w:rFonts w:ascii="Calibri" w:hAnsi="Calibri" w:cs="Calibri"/>
        </w:rPr>
      </w:pPr>
      <w:r w:rsidRPr="00837ED6">
        <w:rPr>
          <w:rFonts w:ascii="Calibri" w:hAnsi="Calibri" w:cs="Calibri"/>
          <w:b/>
          <w:bCs/>
        </w:rPr>
        <w:t>Vaccinations</w:t>
      </w:r>
      <w:r w:rsidRPr="00837ED6">
        <w:rPr>
          <w:rFonts w:ascii="Calibri" w:hAnsi="Calibri" w:cs="Calibri"/>
        </w:rPr>
        <w:t xml:space="preserve">: Data on vaccine administration, including </w:t>
      </w:r>
      <w:r w:rsidRPr="00837ED6">
        <w:rPr>
          <w:rFonts w:ascii="Calibri" w:hAnsi="Calibri" w:cs="Calibri"/>
        </w:rPr>
        <w:t>first dose</w:t>
      </w:r>
      <w:r w:rsidRPr="00837ED6">
        <w:rPr>
          <w:rFonts w:ascii="Calibri" w:hAnsi="Calibri" w:cs="Calibri"/>
        </w:rPr>
        <w:t xml:space="preserve"> and fully vaccinated counts, as well as cumulative totals. This includes county-wise distribution to highlight geographic disparities.</w:t>
      </w:r>
    </w:p>
    <w:p w14:paraId="602DD11A" w14:textId="77777777" w:rsidR="00837ED6" w:rsidRPr="00837ED6" w:rsidRDefault="00837ED6" w:rsidP="00837ED6">
      <w:pPr>
        <w:numPr>
          <w:ilvl w:val="0"/>
          <w:numId w:val="10"/>
        </w:numPr>
        <w:rPr>
          <w:rFonts w:ascii="Calibri" w:hAnsi="Calibri" w:cs="Calibri"/>
        </w:rPr>
      </w:pPr>
      <w:r w:rsidRPr="00837ED6">
        <w:rPr>
          <w:rFonts w:ascii="Calibri" w:hAnsi="Calibri" w:cs="Calibri"/>
          <w:b/>
          <w:bCs/>
        </w:rPr>
        <w:t>Healthcare Infrastructure</w:t>
      </w:r>
      <w:r w:rsidRPr="00837ED6">
        <w:rPr>
          <w:rFonts w:ascii="Calibri" w:hAnsi="Calibri" w:cs="Calibri"/>
        </w:rPr>
        <w:t>: Information on the availability of acute care and ICU beds, staffing levels, and the number of patient discharges, which are critical for understanding healthcare capacity during surges.</w:t>
      </w:r>
    </w:p>
    <w:p w14:paraId="58BBC4B6" w14:textId="77777777" w:rsidR="00837ED6" w:rsidRPr="00837ED6" w:rsidRDefault="00837ED6" w:rsidP="00837ED6">
      <w:pPr>
        <w:rPr>
          <w:rFonts w:ascii="Calibri" w:hAnsi="Calibri" w:cs="Calibri"/>
          <w:b/>
          <w:bCs/>
        </w:rPr>
      </w:pPr>
      <w:r w:rsidRPr="00837ED6">
        <w:rPr>
          <w:rFonts w:ascii="Calibri" w:hAnsi="Calibri" w:cs="Calibri"/>
          <w:b/>
          <w:bCs/>
        </w:rPr>
        <w:t>Key Counties Analyzed</w:t>
      </w:r>
    </w:p>
    <w:p w14:paraId="36765408" w14:textId="77777777" w:rsidR="00837ED6" w:rsidRPr="00837ED6" w:rsidRDefault="00837ED6" w:rsidP="00837ED6">
      <w:pPr>
        <w:rPr>
          <w:rFonts w:ascii="Calibri" w:hAnsi="Calibri" w:cs="Calibri"/>
        </w:rPr>
      </w:pPr>
      <w:r w:rsidRPr="00837ED6">
        <w:rPr>
          <w:rFonts w:ascii="Calibri" w:hAnsi="Calibri" w:cs="Calibri"/>
        </w:rPr>
        <w:t>The analysis focuses on three major counties in New York State that were heavily impacted by the pandemic:</w:t>
      </w:r>
    </w:p>
    <w:p w14:paraId="74828F8B" w14:textId="77777777" w:rsidR="00837ED6" w:rsidRPr="00837ED6" w:rsidRDefault="00837ED6" w:rsidP="00837ED6">
      <w:pPr>
        <w:numPr>
          <w:ilvl w:val="0"/>
          <w:numId w:val="11"/>
        </w:numPr>
        <w:rPr>
          <w:rFonts w:ascii="Calibri" w:hAnsi="Calibri" w:cs="Calibri"/>
        </w:rPr>
      </w:pPr>
      <w:r w:rsidRPr="00837ED6">
        <w:rPr>
          <w:rFonts w:ascii="Calibri" w:hAnsi="Calibri" w:cs="Calibri"/>
          <w:b/>
          <w:bCs/>
        </w:rPr>
        <w:t>Kings County (Brooklyn)</w:t>
      </w:r>
      <w:r w:rsidRPr="00837ED6">
        <w:rPr>
          <w:rFonts w:ascii="Calibri" w:hAnsi="Calibri" w:cs="Calibri"/>
        </w:rPr>
        <w:t>: One of the most populous counties, with diverse demographics and significant early outbreaks.</w:t>
      </w:r>
    </w:p>
    <w:p w14:paraId="4FC9C321" w14:textId="4F18217F" w:rsidR="00837ED6" w:rsidRPr="00837ED6" w:rsidRDefault="00837ED6" w:rsidP="00837ED6">
      <w:pPr>
        <w:numPr>
          <w:ilvl w:val="0"/>
          <w:numId w:val="11"/>
        </w:numPr>
        <w:rPr>
          <w:rFonts w:ascii="Calibri" w:hAnsi="Calibri" w:cs="Calibri"/>
        </w:rPr>
      </w:pPr>
      <w:r w:rsidRPr="00837ED6">
        <w:rPr>
          <w:rFonts w:ascii="Calibri" w:hAnsi="Calibri" w:cs="Calibri"/>
          <w:b/>
          <w:bCs/>
        </w:rPr>
        <w:t>Queens County</w:t>
      </w:r>
      <w:r w:rsidRPr="00837ED6">
        <w:rPr>
          <w:rFonts w:ascii="Calibri" w:hAnsi="Calibri" w:cs="Calibri"/>
        </w:rPr>
        <w:t xml:space="preserve">: Known for its high population density and international connectivity, which contributed to </w:t>
      </w:r>
      <w:r w:rsidRPr="00837ED6">
        <w:rPr>
          <w:rFonts w:ascii="Calibri" w:hAnsi="Calibri" w:cs="Calibri"/>
        </w:rPr>
        <w:t>the early</w:t>
      </w:r>
      <w:r w:rsidRPr="00837ED6">
        <w:rPr>
          <w:rFonts w:ascii="Calibri" w:hAnsi="Calibri" w:cs="Calibri"/>
        </w:rPr>
        <w:t xml:space="preserve"> virus spread.</w:t>
      </w:r>
    </w:p>
    <w:p w14:paraId="0FB7AC95" w14:textId="77777777" w:rsidR="00837ED6" w:rsidRPr="00837ED6" w:rsidRDefault="00837ED6" w:rsidP="00837ED6">
      <w:pPr>
        <w:numPr>
          <w:ilvl w:val="0"/>
          <w:numId w:val="11"/>
        </w:numPr>
        <w:rPr>
          <w:rFonts w:ascii="Calibri" w:hAnsi="Calibri" w:cs="Calibri"/>
        </w:rPr>
      </w:pPr>
      <w:r w:rsidRPr="00837ED6">
        <w:rPr>
          <w:rFonts w:ascii="Calibri" w:hAnsi="Calibri" w:cs="Calibri"/>
          <w:b/>
          <w:bCs/>
        </w:rPr>
        <w:t>New York County (Manhattan)</w:t>
      </w:r>
      <w:r w:rsidRPr="00837ED6">
        <w:rPr>
          <w:rFonts w:ascii="Calibri" w:hAnsi="Calibri" w:cs="Calibri"/>
        </w:rPr>
        <w:t>: A commercial and cultural hub that faced unique challenges due to its population density and transient population.</w:t>
      </w:r>
    </w:p>
    <w:p w14:paraId="29FEE7A5" w14:textId="53F24115" w:rsidR="00837ED6" w:rsidRPr="00837ED6" w:rsidRDefault="00837ED6" w:rsidP="00837ED6">
      <w:pPr>
        <w:rPr>
          <w:rFonts w:ascii="Calibri" w:hAnsi="Calibri" w:cs="Calibri"/>
        </w:rPr>
      </w:pPr>
      <w:r w:rsidRPr="00837ED6">
        <w:rPr>
          <w:rFonts w:ascii="Calibri" w:eastAsia="Times New Roman" w:hAnsi="Calibri" w:cs="Calibri"/>
          <w:b/>
          <w:bCs/>
          <w:kern w:val="0"/>
          <w14:ligatures w14:val="none"/>
        </w:rPr>
        <w:t>Temporal Coverage</w:t>
      </w:r>
    </w:p>
    <w:p w14:paraId="4F148254" w14:textId="77777777" w:rsidR="00837ED6" w:rsidRPr="00837ED6" w:rsidRDefault="00837ED6" w:rsidP="00837ED6">
      <w:pPr>
        <w:spacing w:before="100" w:beforeAutospacing="1" w:after="100" w:afterAutospacing="1" w:line="240" w:lineRule="auto"/>
        <w:rPr>
          <w:rFonts w:ascii="Calibri" w:eastAsia="Times New Roman" w:hAnsi="Calibri" w:cs="Calibri"/>
          <w:kern w:val="0"/>
          <w14:ligatures w14:val="none"/>
        </w:rPr>
      </w:pPr>
      <w:r w:rsidRPr="00837ED6">
        <w:rPr>
          <w:rFonts w:ascii="Calibri" w:eastAsia="Times New Roman" w:hAnsi="Calibri" w:cs="Calibri"/>
          <w:kern w:val="0"/>
          <w14:ligatures w14:val="none"/>
        </w:rPr>
        <w:t>The dataset covers the initial phase of the pandemic in 2020, capturing the emergence of cases and hospitalizations, and extends through subsequent infection waves. It also includes data from the vaccine rollout in late 2020 and 2021, highlighting the impact of vaccinations on hospitalization and fatality trends.</w:t>
      </w:r>
    </w:p>
    <w:p w14:paraId="0C4F077B" w14:textId="2D0C61E6" w:rsidR="00837ED6" w:rsidRPr="00837ED6" w:rsidRDefault="00837ED6" w:rsidP="00837ED6">
      <w:pPr>
        <w:spacing w:before="100" w:beforeAutospacing="1" w:after="100" w:afterAutospacing="1" w:line="240" w:lineRule="auto"/>
        <w:rPr>
          <w:rFonts w:ascii="Calibri" w:eastAsia="Times New Roman" w:hAnsi="Calibri" w:cs="Calibri"/>
          <w:kern w:val="0"/>
          <w14:ligatures w14:val="none"/>
        </w:rPr>
      </w:pPr>
      <w:r w:rsidRPr="00837ED6">
        <w:rPr>
          <w:rFonts w:ascii="Calibri" w:eastAsia="Times New Roman" w:hAnsi="Calibri" w:cs="Calibri"/>
          <w:b/>
          <w:bCs/>
          <w:kern w:val="0"/>
          <w14:ligatures w14:val="none"/>
        </w:rPr>
        <w:t>Relevance of the Dataset</w:t>
      </w:r>
    </w:p>
    <w:p w14:paraId="655F072A" w14:textId="52B41F6C" w:rsidR="00837ED6" w:rsidRPr="00837ED6" w:rsidRDefault="00837ED6" w:rsidP="00837ED6">
      <w:pPr>
        <w:spacing w:before="100" w:beforeAutospacing="1" w:after="100" w:afterAutospacing="1" w:line="240" w:lineRule="auto"/>
        <w:rPr>
          <w:rFonts w:ascii="Calibri" w:eastAsia="Times New Roman" w:hAnsi="Calibri" w:cs="Calibri"/>
          <w:kern w:val="0"/>
          <w14:ligatures w14:val="none"/>
        </w:rPr>
      </w:pPr>
      <w:r w:rsidRPr="00837ED6">
        <w:rPr>
          <w:rFonts w:ascii="Calibri" w:eastAsia="Times New Roman" w:hAnsi="Calibri" w:cs="Calibri"/>
          <w:kern w:val="0"/>
          <w14:ligatures w14:val="none"/>
        </w:rPr>
        <w:t xml:space="preserve">This </w:t>
      </w:r>
      <w:r w:rsidRPr="00837ED6">
        <w:rPr>
          <w:rFonts w:ascii="Calibri" w:eastAsia="Times New Roman" w:hAnsi="Calibri" w:cs="Calibri"/>
          <w:kern w:val="0"/>
          <w14:ligatures w14:val="none"/>
        </w:rPr>
        <w:t>data set</w:t>
      </w:r>
      <w:r w:rsidRPr="00837ED6">
        <w:rPr>
          <w:rFonts w:ascii="Calibri" w:eastAsia="Times New Roman" w:hAnsi="Calibri" w:cs="Calibri"/>
          <w:kern w:val="0"/>
          <w14:ligatures w14:val="none"/>
        </w:rPr>
        <w:t xml:space="preserve"> provides a comprehensive basis for analyzing the pandemic's effects. </w:t>
      </w:r>
      <w:r>
        <w:rPr>
          <w:rFonts w:ascii="Calibri" w:eastAsia="Times New Roman" w:hAnsi="Calibri" w:cs="Calibri"/>
          <w:kern w:val="0"/>
          <w14:ligatures w14:val="none"/>
        </w:rPr>
        <w:t>Including hospitalization, fatality, and vaccination data</w:t>
      </w:r>
      <w:r w:rsidRPr="00837ED6">
        <w:rPr>
          <w:rFonts w:ascii="Calibri" w:eastAsia="Times New Roman" w:hAnsi="Calibri" w:cs="Calibri"/>
          <w:kern w:val="0"/>
          <w14:ligatures w14:val="none"/>
        </w:rPr>
        <w:t xml:space="preserve"> enables insights into localized trends and the effectiveness of interventions across counties and demographics.</w:t>
      </w:r>
    </w:p>
    <w:p w14:paraId="1EB415BE" w14:textId="077ED5A6" w:rsidR="00FD10DB" w:rsidRDefault="00837ED6" w:rsidP="00FD10DB">
      <w:pPr>
        <w:rPr>
          <w:rFonts w:ascii="Calibri" w:hAnsi="Calibri" w:cs="Calibri"/>
        </w:rPr>
      </w:pPr>
      <w:r w:rsidRPr="00837ED6">
        <w:rPr>
          <w:rFonts w:ascii="Calibri" w:hAnsi="Calibri" w:cs="Calibri"/>
        </w:rPr>
        <w:t>The scope and depth of this dataset enable a detailed exploration of how the pandemic unfolded in New York State, offering valuable lessons for public health planning and crisis management.</w:t>
      </w:r>
    </w:p>
    <w:p w14:paraId="5D320969" w14:textId="639FDE21" w:rsidR="00646F12" w:rsidRPr="00646F12" w:rsidRDefault="00646F12" w:rsidP="00646F12">
      <w:pPr>
        <w:jc w:val="center"/>
        <w:rPr>
          <w:rFonts w:ascii="Calibri" w:hAnsi="Calibri" w:cs="Calibri"/>
          <w:b/>
          <w:bCs/>
          <w:sz w:val="28"/>
          <w:szCs w:val="28"/>
        </w:rPr>
      </w:pPr>
      <w:r w:rsidRPr="00646F12">
        <w:rPr>
          <w:rFonts w:ascii="Calibri" w:hAnsi="Calibri" w:cs="Calibri"/>
          <w:b/>
          <w:bCs/>
          <w:sz w:val="28"/>
          <w:szCs w:val="28"/>
        </w:rPr>
        <w:lastRenderedPageBreak/>
        <w:t>Data Cleaning</w:t>
      </w:r>
    </w:p>
    <w:p w14:paraId="7C002531" w14:textId="77777777" w:rsidR="00646F12" w:rsidRPr="00646F12" w:rsidRDefault="00646F12" w:rsidP="00646F12">
      <w:pPr>
        <w:rPr>
          <w:rFonts w:ascii="Calibri" w:hAnsi="Calibri" w:cs="Calibri"/>
        </w:rPr>
      </w:pPr>
      <w:r w:rsidRPr="00646F12">
        <w:rPr>
          <w:rFonts w:ascii="Calibri" w:hAnsi="Calibri" w:cs="Calibri"/>
        </w:rPr>
        <w:t>The dataset underwent extensive preprocessing to ensure its accuracy, reliability, and suitability for statistical analysis and visualization. Given the complexity of the data and its diverse sources, the following steps were implemented to address potential issues and enhance the quality of the dataset:</w:t>
      </w:r>
    </w:p>
    <w:p w14:paraId="2C9FC782" w14:textId="77777777" w:rsidR="00646F12" w:rsidRPr="00646F12" w:rsidRDefault="00646F12" w:rsidP="00646F12">
      <w:pPr>
        <w:numPr>
          <w:ilvl w:val="0"/>
          <w:numId w:val="12"/>
        </w:numPr>
        <w:rPr>
          <w:rFonts w:ascii="Calibri" w:hAnsi="Calibri" w:cs="Calibri"/>
        </w:rPr>
      </w:pPr>
      <w:r w:rsidRPr="00646F12">
        <w:rPr>
          <w:rFonts w:ascii="Calibri" w:hAnsi="Calibri" w:cs="Calibri"/>
          <w:b/>
          <w:bCs/>
        </w:rPr>
        <w:t>Handling Missing Values</w:t>
      </w:r>
      <w:r w:rsidRPr="00646F12">
        <w:rPr>
          <w:rFonts w:ascii="Calibri" w:hAnsi="Calibri" w:cs="Calibri"/>
        </w:rPr>
        <w:t>:</w:t>
      </w:r>
      <w:r w:rsidRPr="00646F12">
        <w:rPr>
          <w:rFonts w:ascii="Calibri" w:hAnsi="Calibri" w:cs="Calibri"/>
        </w:rPr>
        <w:br/>
        <w:t>Missing data points, particularly in hospitalization and vaccination records, posed challenges for trend analysis. To address this, interpolation techniques were applied to estimate missing values while preserving the natural flow of the data. In cases where interpolation was not feasible, county-level averages or data from similar timeframes were used to fill gaps.</w:t>
      </w:r>
    </w:p>
    <w:p w14:paraId="08B57FB3" w14:textId="77777777" w:rsidR="00646F12" w:rsidRPr="00646F12" w:rsidRDefault="00646F12" w:rsidP="00646F12">
      <w:pPr>
        <w:numPr>
          <w:ilvl w:val="0"/>
          <w:numId w:val="12"/>
        </w:numPr>
        <w:rPr>
          <w:rFonts w:ascii="Calibri" w:hAnsi="Calibri" w:cs="Calibri"/>
        </w:rPr>
      </w:pPr>
      <w:r w:rsidRPr="00646F12">
        <w:rPr>
          <w:rFonts w:ascii="Calibri" w:hAnsi="Calibri" w:cs="Calibri"/>
          <w:b/>
          <w:bCs/>
        </w:rPr>
        <w:t>Standardization of Formats</w:t>
      </w:r>
      <w:r w:rsidRPr="00646F12">
        <w:rPr>
          <w:rFonts w:ascii="Calibri" w:hAnsi="Calibri" w:cs="Calibri"/>
        </w:rPr>
        <w:t>:</w:t>
      </w:r>
      <w:r w:rsidRPr="00646F12">
        <w:rPr>
          <w:rFonts w:ascii="Calibri" w:hAnsi="Calibri" w:cs="Calibri"/>
        </w:rPr>
        <w:br/>
        <w:t>The dataset contained metrics reported in varying formats, such as inconsistent date ranges and units of measurement (e.g., daily vs. weekly counts). Standardization efforts ensured uniformity, aligning all data to a consistent temporal and spatial framework. For example, vaccination rates and ICU bed availability metrics were scaled to enable direct comparisons across counties.</w:t>
      </w:r>
    </w:p>
    <w:p w14:paraId="35F0B5B8" w14:textId="77777777" w:rsidR="00646F12" w:rsidRPr="00646F12" w:rsidRDefault="00646F12" w:rsidP="00646F12">
      <w:pPr>
        <w:numPr>
          <w:ilvl w:val="0"/>
          <w:numId w:val="12"/>
        </w:numPr>
        <w:rPr>
          <w:rFonts w:ascii="Calibri" w:hAnsi="Calibri" w:cs="Calibri"/>
        </w:rPr>
      </w:pPr>
      <w:r w:rsidRPr="00646F12">
        <w:rPr>
          <w:rFonts w:ascii="Calibri" w:hAnsi="Calibri" w:cs="Calibri"/>
          <w:b/>
          <w:bCs/>
        </w:rPr>
        <w:t>Outlier Detection and Removal</w:t>
      </w:r>
      <w:r w:rsidRPr="00646F12">
        <w:rPr>
          <w:rFonts w:ascii="Calibri" w:hAnsi="Calibri" w:cs="Calibri"/>
        </w:rPr>
        <w:t>:</w:t>
      </w:r>
      <w:r w:rsidRPr="00646F12">
        <w:rPr>
          <w:rFonts w:ascii="Calibri" w:hAnsi="Calibri" w:cs="Calibri"/>
        </w:rPr>
        <w:br/>
        <w:t>Outliers, such as anomalously high hospitalization or fatality numbers, were identified using statistical methods (e.g., z-scores) and domain expertise. These outliers were flagged and investigated, with corrections made where appropriate, such as adjusting for known reporting errors. Records deemed invalid were excluded to avoid skewing the analysis.</w:t>
      </w:r>
    </w:p>
    <w:p w14:paraId="6E781674" w14:textId="77777777" w:rsidR="00646F12" w:rsidRPr="00646F12" w:rsidRDefault="00646F12" w:rsidP="00646F12">
      <w:pPr>
        <w:numPr>
          <w:ilvl w:val="0"/>
          <w:numId w:val="12"/>
        </w:numPr>
        <w:rPr>
          <w:rFonts w:ascii="Calibri" w:hAnsi="Calibri" w:cs="Calibri"/>
        </w:rPr>
      </w:pPr>
      <w:r w:rsidRPr="00646F12">
        <w:rPr>
          <w:rFonts w:ascii="Calibri" w:hAnsi="Calibri" w:cs="Calibri"/>
          <w:b/>
          <w:bCs/>
        </w:rPr>
        <w:t>Normalization for Population Differences</w:t>
      </w:r>
      <w:r w:rsidRPr="00646F12">
        <w:rPr>
          <w:rFonts w:ascii="Calibri" w:hAnsi="Calibri" w:cs="Calibri"/>
        </w:rPr>
        <w:t>:</w:t>
      </w:r>
      <w:r w:rsidRPr="00646F12">
        <w:rPr>
          <w:rFonts w:ascii="Calibri" w:hAnsi="Calibri" w:cs="Calibri"/>
        </w:rPr>
        <w:br/>
        <w:t>To facilitate equitable comparisons across counties of varying population sizes, normalization was applied. Metrics such as hospitalization and fatality rates were expressed per 100,000 residents. This adjustment allowed for more meaningful analysis, highlighting trends that were independent of raw population numbers.</w:t>
      </w:r>
    </w:p>
    <w:p w14:paraId="10024C57" w14:textId="77777777" w:rsidR="00646F12" w:rsidRPr="00646F12" w:rsidRDefault="00646F12" w:rsidP="00646F12">
      <w:pPr>
        <w:numPr>
          <w:ilvl w:val="0"/>
          <w:numId w:val="12"/>
        </w:numPr>
        <w:rPr>
          <w:rFonts w:ascii="Calibri" w:hAnsi="Calibri" w:cs="Calibri"/>
        </w:rPr>
      </w:pPr>
      <w:r w:rsidRPr="00646F12">
        <w:rPr>
          <w:rFonts w:ascii="Calibri" w:hAnsi="Calibri" w:cs="Calibri"/>
          <w:b/>
          <w:bCs/>
        </w:rPr>
        <w:t>Ensuring Temporal Consistency</w:t>
      </w:r>
      <w:r w:rsidRPr="00646F12">
        <w:rPr>
          <w:rFonts w:ascii="Calibri" w:hAnsi="Calibri" w:cs="Calibri"/>
        </w:rPr>
        <w:t>:</w:t>
      </w:r>
      <w:r w:rsidRPr="00646F12">
        <w:rPr>
          <w:rFonts w:ascii="Calibri" w:hAnsi="Calibri" w:cs="Calibri"/>
        </w:rPr>
        <w:br/>
        <w:t>Data was aligned across the same timeframes to ensure consistency in trends. For instance, hospitalization data was synchronized with vaccination and ICU bed metrics to analyze temporal relationships effectively.</w:t>
      </w:r>
    </w:p>
    <w:p w14:paraId="4337642C" w14:textId="77777777" w:rsidR="00646F12" w:rsidRPr="00646F12" w:rsidRDefault="00646F12" w:rsidP="00646F12">
      <w:pPr>
        <w:numPr>
          <w:ilvl w:val="0"/>
          <w:numId w:val="12"/>
        </w:numPr>
        <w:rPr>
          <w:rFonts w:ascii="Calibri" w:hAnsi="Calibri" w:cs="Calibri"/>
        </w:rPr>
      </w:pPr>
      <w:r w:rsidRPr="00646F12">
        <w:rPr>
          <w:rFonts w:ascii="Calibri" w:hAnsi="Calibri" w:cs="Calibri"/>
          <w:b/>
          <w:bCs/>
        </w:rPr>
        <w:t>Data Aggregation and Segmentation</w:t>
      </w:r>
      <w:r w:rsidRPr="00646F12">
        <w:rPr>
          <w:rFonts w:ascii="Calibri" w:hAnsi="Calibri" w:cs="Calibri"/>
        </w:rPr>
        <w:t>:</w:t>
      </w:r>
      <w:r w:rsidRPr="00646F12">
        <w:rPr>
          <w:rFonts w:ascii="Calibri" w:hAnsi="Calibri" w:cs="Calibri"/>
        </w:rPr>
        <w:br/>
        <w:t>To focus on specific insights, data was aggregated into meaningful categories, such as age groups and vaccination phases. Segmentation allowed for a deeper understanding of subgroup dynamics, such as hospitalization trends among individuals aged 65 and older.</w:t>
      </w:r>
    </w:p>
    <w:p w14:paraId="482161F8" w14:textId="77777777" w:rsidR="00AD5185" w:rsidRDefault="00AD5185" w:rsidP="00FD10DB">
      <w:pPr>
        <w:rPr>
          <w:rFonts w:ascii="Calibri" w:hAnsi="Calibri" w:cs="Calibri"/>
          <w:b/>
          <w:bCs/>
        </w:rPr>
      </w:pPr>
    </w:p>
    <w:p w14:paraId="54DE361C" w14:textId="77777777" w:rsidR="002D422A" w:rsidRDefault="002D422A" w:rsidP="00FD10DB">
      <w:pPr>
        <w:rPr>
          <w:rFonts w:ascii="Calibri" w:hAnsi="Calibri" w:cs="Calibri"/>
          <w:b/>
          <w:bCs/>
        </w:rPr>
      </w:pPr>
    </w:p>
    <w:p w14:paraId="71B92E21" w14:textId="77777777" w:rsidR="002D422A" w:rsidRDefault="002D422A" w:rsidP="00FD10DB">
      <w:pPr>
        <w:rPr>
          <w:rFonts w:ascii="Calibri" w:hAnsi="Calibri" w:cs="Calibri"/>
          <w:b/>
          <w:bCs/>
        </w:rPr>
      </w:pPr>
    </w:p>
    <w:p w14:paraId="6E86EA0B" w14:textId="77777777" w:rsidR="002D422A" w:rsidRDefault="002D422A" w:rsidP="00FD10DB">
      <w:pPr>
        <w:rPr>
          <w:rFonts w:ascii="Calibri" w:hAnsi="Calibri" w:cs="Calibri"/>
          <w:b/>
          <w:bCs/>
        </w:rPr>
      </w:pPr>
    </w:p>
    <w:p w14:paraId="14616236" w14:textId="77777777" w:rsidR="002D422A" w:rsidRDefault="002D422A" w:rsidP="00FD10DB">
      <w:pPr>
        <w:rPr>
          <w:rFonts w:ascii="Calibri" w:hAnsi="Calibri" w:cs="Calibri"/>
          <w:b/>
          <w:bCs/>
        </w:rPr>
      </w:pPr>
    </w:p>
    <w:p w14:paraId="0D64A650" w14:textId="77777777" w:rsidR="002D422A" w:rsidRPr="00D816E4" w:rsidRDefault="002D422A" w:rsidP="00FD10DB">
      <w:pPr>
        <w:rPr>
          <w:rFonts w:ascii="Calibri" w:hAnsi="Calibri" w:cs="Calibri"/>
        </w:rPr>
      </w:pPr>
    </w:p>
    <w:p w14:paraId="0D2FF30E" w14:textId="77777777" w:rsidR="00AD5185" w:rsidRPr="00D816E4" w:rsidRDefault="00AD5185" w:rsidP="00FD10DB">
      <w:pPr>
        <w:rPr>
          <w:rFonts w:ascii="Calibri" w:hAnsi="Calibri" w:cs="Calibri"/>
        </w:rPr>
      </w:pPr>
    </w:p>
    <w:p w14:paraId="504030A3" w14:textId="47485C11" w:rsidR="00FD10DB" w:rsidRPr="00D816E4" w:rsidRDefault="00FD10DB" w:rsidP="00AD5185">
      <w:pPr>
        <w:jc w:val="center"/>
        <w:rPr>
          <w:rFonts w:ascii="Calibri" w:hAnsi="Calibri" w:cs="Calibri"/>
          <w:b/>
          <w:bCs/>
          <w:sz w:val="28"/>
          <w:szCs w:val="28"/>
        </w:rPr>
      </w:pPr>
      <w:r w:rsidRPr="00FD10DB">
        <w:rPr>
          <w:rFonts w:ascii="Calibri" w:hAnsi="Calibri" w:cs="Calibri"/>
          <w:b/>
          <w:bCs/>
          <w:sz w:val="28"/>
          <w:szCs w:val="28"/>
        </w:rPr>
        <w:t>Hypothesis 1</w:t>
      </w:r>
    </w:p>
    <w:p w14:paraId="52C8CFE7" w14:textId="77777777" w:rsidR="00AD5185" w:rsidRPr="00FD10DB" w:rsidRDefault="00AD5185" w:rsidP="00AD5185">
      <w:pPr>
        <w:jc w:val="center"/>
        <w:rPr>
          <w:rFonts w:ascii="Calibri" w:hAnsi="Calibri" w:cs="Calibri"/>
          <w:sz w:val="28"/>
          <w:szCs w:val="28"/>
        </w:rPr>
      </w:pPr>
    </w:p>
    <w:p w14:paraId="23820EE9" w14:textId="41210907" w:rsidR="00646F12" w:rsidRPr="00646F12" w:rsidRDefault="00D816E4" w:rsidP="00646F12">
      <w:pPr>
        <w:rPr>
          <w:rFonts w:ascii="Calibri" w:hAnsi="Calibri" w:cs="Calibri"/>
        </w:rPr>
      </w:pPr>
      <w:r w:rsidRPr="00D816E4">
        <w:rPr>
          <w:rFonts w:ascii="Calibri" w:hAnsi="Calibri" w:cs="Calibri"/>
        </w:rPr>
        <w:t>COVID-19</w:t>
      </w:r>
      <w:r w:rsidR="00646F12" w:rsidRPr="00646F12">
        <w:rPr>
          <w:rFonts w:ascii="Calibri" w:hAnsi="Calibri" w:cs="Calibri"/>
        </w:rPr>
        <w:t xml:space="preserve"> patients aged 65+ are more likely to experience hospitalization and fatalities than patients in other age groups.</w:t>
      </w:r>
    </w:p>
    <w:p w14:paraId="72AA299C" w14:textId="77777777" w:rsidR="00646F12" w:rsidRPr="00D816E4" w:rsidRDefault="00646F12" w:rsidP="00FD10DB">
      <w:pPr>
        <w:rPr>
          <w:rFonts w:ascii="Calibri" w:hAnsi="Calibri" w:cs="Calibri"/>
        </w:rPr>
      </w:pPr>
      <w:r w:rsidRPr="00646F12">
        <w:rPr>
          <w:rFonts w:ascii="Calibri" w:hAnsi="Calibri" w:cs="Calibri"/>
          <w:b/>
          <w:bCs/>
        </w:rPr>
        <w:t>Conclusion</w:t>
      </w:r>
      <w:r w:rsidRPr="00646F12">
        <w:rPr>
          <w:rFonts w:ascii="Calibri" w:hAnsi="Calibri" w:cs="Calibri"/>
        </w:rPr>
        <w:t>: The visualizations indicate that COVID-19 patients aged 65 years and above experienced the highest rates of hospitalization and fatalities, providing empirical evidence to support the hypothesis.</w:t>
      </w:r>
    </w:p>
    <w:p w14:paraId="039A8B0B" w14:textId="351D3CBF" w:rsidR="00646F12" w:rsidRPr="00D816E4" w:rsidRDefault="00646F12" w:rsidP="00FD10DB">
      <w:pPr>
        <w:rPr>
          <w:rFonts w:ascii="Calibri" w:hAnsi="Calibri" w:cs="Calibri"/>
        </w:rPr>
      </w:pPr>
    </w:p>
    <w:p w14:paraId="7B455EC3" w14:textId="073D12DE" w:rsidR="00AD5185" w:rsidRPr="00D816E4" w:rsidRDefault="00D816E4" w:rsidP="00FD10DB">
      <w:pPr>
        <w:rPr>
          <w:rFonts w:ascii="Calibri" w:hAnsi="Calibri" w:cs="Calibri"/>
          <w:b/>
          <w:bCs/>
        </w:rPr>
      </w:pPr>
      <w:r w:rsidRPr="00D816E4">
        <w:rPr>
          <w:rFonts w:ascii="Calibri" w:hAnsi="Calibri" w:cs="Calibri"/>
          <w:noProof/>
        </w:rPr>
        <w:drawing>
          <wp:inline distT="0" distB="0" distL="0" distR="0" wp14:anchorId="4D0990A9" wp14:editId="15EF0B4F">
            <wp:extent cx="5943600" cy="3343275"/>
            <wp:effectExtent l="0" t="0" r="0" b="9525"/>
            <wp:docPr id="931852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52035"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6044D454" w14:textId="77777777" w:rsidR="00AD5185" w:rsidRPr="00D816E4" w:rsidRDefault="00AD5185" w:rsidP="00FD10DB">
      <w:pPr>
        <w:rPr>
          <w:rFonts w:ascii="Calibri" w:hAnsi="Calibri" w:cs="Calibri"/>
          <w:b/>
          <w:bCs/>
        </w:rPr>
      </w:pPr>
    </w:p>
    <w:p w14:paraId="50B108C0" w14:textId="77777777" w:rsidR="00AD5185" w:rsidRPr="00D816E4" w:rsidRDefault="00AD5185" w:rsidP="00FD10DB">
      <w:pPr>
        <w:rPr>
          <w:rFonts w:ascii="Calibri" w:hAnsi="Calibri" w:cs="Calibri"/>
          <w:b/>
          <w:bCs/>
        </w:rPr>
      </w:pPr>
    </w:p>
    <w:p w14:paraId="2D89D49B" w14:textId="77777777" w:rsidR="00AD5185" w:rsidRPr="00D816E4" w:rsidRDefault="00AD5185" w:rsidP="00FD10DB">
      <w:pPr>
        <w:rPr>
          <w:rFonts w:ascii="Calibri" w:hAnsi="Calibri" w:cs="Calibri"/>
          <w:b/>
          <w:bCs/>
        </w:rPr>
      </w:pPr>
    </w:p>
    <w:p w14:paraId="7E717789" w14:textId="77777777" w:rsidR="00AD5185" w:rsidRPr="00D816E4" w:rsidRDefault="00AD5185" w:rsidP="00FD10DB">
      <w:pPr>
        <w:rPr>
          <w:rFonts w:ascii="Calibri" w:hAnsi="Calibri" w:cs="Calibri"/>
          <w:b/>
          <w:bCs/>
        </w:rPr>
      </w:pPr>
    </w:p>
    <w:p w14:paraId="47136858" w14:textId="77777777" w:rsidR="00AD5185" w:rsidRPr="00D816E4" w:rsidRDefault="00AD5185" w:rsidP="00FD10DB">
      <w:pPr>
        <w:rPr>
          <w:rFonts w:ascii="Calibri" w:hAnsi="Calibri" w:cs="Calibri"/>
          <w:b/>
          <w:bCs/>
        </w:rPr>
      </w:pPr>
    </w:p>
    <w:p w14:paraId="3CA03755" w14:textId="77777777" w:rsidR="00AD5185" w:rsidRPr="00D816E4" w:rsidRDefault="00AD5185" w:rsidP="00FD10DB">
      <w:pPr>
        <w:rPr>
          <w:rFonts w:ascii="Calibri" w:hAnsi="Calibri" w:cs="Calibri"/>
          <w:b/>
          <w:bCs/>
        </w:rPr>
      </w:pPr>
    </w:p>
    <w:p w14:paraId="2BB38ACB" w14:textId="77777777" w:rsidR="00AD5185" w:rsidRPr="00D816E4" w:rsidRDefault="00AD5185" w:rsidP="00FD10DB">
      <w:pPr>
        <w:rPr>
          <w:rFonts w:ascii="Calibri" w:hAnsi="Calibri" w:cs="Calibri"/>
          <w:b/>
          <w:bCs/>
        </w:rPr>
      </w:pPr>
    </w:p>
    <w:p w14:paraId="686C8A90" w14:textId="77777777" w:rsidR="00AD5185" w:rsidRPr="00D816E4" w:rsidRDefault="00AD5185" w:rsidP="00FD10DB">
      <w:pPr>
        <w:rPr>
          <w:rFonts w:ascii="Calibri" w:hAnsi="Calibri" w:cs="Calibri"/>
          <w:b/>
          <w:bCs/>
        </w:rPr>
      </w:pPr>
    </w:p>
    <w:p w14:paraId="7FD83A0F" w14:textId="77777777" w:rsidR="00D816E4" w:rsidRPr="00D816E4" w:rsidRDefault="00D816E4" w:rsidP="00AD5185">
      <w:pPr>
        <w:jc w:val="center"/>
        <w:rPr>
          <w:rFonts w:ascii="Calibri" w:hAnsi="Calibri" w:cs="Calibri"/>
          <w:b/>
          <w:bCs/>
          <w:sz w:val="28"/>
          <w:szCs w:val="28"/>
        </w:rPr>
      </w:pPr>
    </w:p>
    <w:p w14:paraId="3963A23F" w14:textId="77777777" w:rsidR="00D816E4" w:rsidRPr="00D816E4" w:rsidRDefault="00D816E4" w:rsidP="00AD5185">
      <w:pPr>
        <w:jc w:val="center"/>
        <w:rPr>
          <w:rFonts w:ascii="Calibri" w:hAnsi="Calibri" w:cs="Calibri"/>
          <w:b/>
          <w:bCs/>
          <w:sz w:val="28"/>
          <w:szCs w:val="28"/>
        </w:rPr>
      </w:pPr>
    </w:p>
    <w:p w14:paraId="3563EC7C" w14:textId="04FB57CA" w:rsidR="00FD10DB" w:rsidRPr="00D816E4" w:rsidRDefault="00FD10DB" w:rsidP="00AD5185">
      <w:pPr>
        <w:jc w:val="center"/>
        <w:rPr>
          <w:rFonts w:ascii="Calibri" w:hAnsi="Calibri" w:cs="Calibri"/>
          <w:b/>
          <w:bCs/>
          <w:sz w:val="28"/>
          <w:szCs w:val="28"/>
        </w:rPr>
      </w:pPr>
      <w:r w:rsidRPr="00FD10DB">
        <w:rPr>
          <w:rFonts w:ascii="Calibri" w:hAnsi="Calibri" w:cs="Calibri"/>
          <w:b/>
          <w:bCs/>
          <w:sz w:val="28"/>
          <w:szCs w:val="28"/>
        </w:rPr>
        <w:t>Hypothesis 2</w:t>
      </w:r>
    </w:p>
    <w:p w14:paraId="3ED1A134" w14:textId="77777777" w:rsidR="00AD5185" w:rsidRPr="00FD10DB" w:rsidRDefault="00AD5185" w:rsidP="00AD5185">
      <w:pPr>
        <w:jc w:val="center"/>
        <w:rPr>
          <w:rFonts w:ascii="Calibri" w:hAnsi="Calibri" w:cs="Calibri"/>
          <w:b/>
          <w:bCs/>
          <w:sz w:val="28"/>
          <w:szCs w:val="28"/>
        </w:rPr>
      </w:pPr>
    </w:p>
    <w:p w14:paraId="0699E86A" w14:textId="77777777" w:rsidR="00AD5185" w:rsidRPr="00AD5185" w:rsidRDefault="00AD5185" w:rsidP="00AD5185">
      <w:pPr>
        <w:rPr>
          <w:rFonts w:ascii="Calibri" w:hAnsi="Calibri" w:cs="Calibri"/>
        </w:rPr>
      </w:pPr>
      <w:r w:rsidRPr="00AD5185">
        <w:rPr>
          <w:rFonts w:ascii="Calibri" w:hAnsi="Calibri" w:cs="Calibri"/>
        </w:rPr>
        <w:t>There is a correlation between the total number of COVID-19 vaccination doses administered and the number of newly occupied staffed ICU beds</w:t>
      </w:r>
    </w:p>
    <w:p w14:paraId="5975D7C3" w14:textId="74CDE5A9" w:rsidR="00AD5185" w:rsidRPr="00AD5185" w:rsidRDefault="00AD5185" w:rsidP="00AD5185">
      <w:pPr>
        <w:rPr>
          <w:rFonts w:ascii="Calibri" w:hAnsi="Calibri" w:cs="Calibri"/>
        </w:rPr>
      </w:pPr>
      <w:r w:rsidRPr="00AD5185">
        <w:rPr>
          <w:rFonts w:ascii="Calibri" w:hAnsi="Calibri" w:cs="Calibri"/>
          <w:b/>
          <w:bCs/>
        </w:rPr>
        <w:t>Conclusion</w:t>
      </w:r>
      <w:r w:rsidRPr="00AD5185">
        <w:rPr>
          <w:rFonts w:ascii="Calibri" w:hAnsi="Calibri" w:cs="Calibri"/>
        </w:rPr>
        <w:t xml:space="preserve">: The visualization indicates a correlation between the cumulative number of COVID-19 vaccination doses administered and the number of newly occupied staffed ICU beds in </w:t>
      </w:r>
      <w:r w:rsidR="00D816E4" w:rsidRPr="00D816E4">
        <w:rPr>
          <w:rFonts w:ascii="Calibri" w:hAnsi="Calibri" w:cs="Calibri"/>
        </w:rPr>
        <w:t>Queens County</w:t>
      </w:r>
      <w:r w:rsidRPr="00AD5185">
        <w:rPr>
          <w:rFonts w:ascii="Calibri" w:hAnsi="Calibri" w:cs="Calibri"/>
        </w:rPr>
        <w:t>. Specifically, areas with higher vaccination rates tend to have lower numbers of newly occupied ICU beds due to COVID-19</w:t>
      </w:r>
    </w:p>
    <w:p w14:paraId="622B7454" w14:textId="714BADD4" w:rsidR="00FD10DB" w:rsidRPr="00D816E4" w:rsidRDefault="00FD10DB" w:rsidP="00FD10DB">
      <w:pPr>
        <w:rPr>
          <w:rFonts w:ascii="Calibri" w:hAnsi="Calibri" w:cs="Calibri"/>
        </w:rPr>
      </w:pPr>
    </w:p>
    <w:p w14:paraId="37F3F7BF" w14:textId="2859CED1" w:rsidR="00D816E4" w:rsidRPr="00FD10DB" w:rsidRDefault="00D816E4" w:rsidP="00FD10DB">
      <w:pPr>
        <w:rPr>
          <w:rFonts w:ascii="Calibri" w:hAnsi="Calibri" w:cs="Calibri"/>
        </w:rPr>
      </w:pPr>
      <w:r w:rsidRPr="00D816E4">
        <w:rPr>
          <w:rFonts w:ascii="Calibri" w:hAnsi="Calibri" w:cs="Calibri"/>
          <w:noProof/>
        </w:rPr>
        <w:drawing>
          <wp:inline distT="0" distB="0" distL="0" distR="0" wp14:anchorId="185FF854" wp14:editId="5F96C3C7">
            <wp:extent cx="5943600" cy="3343275"/>
            <wp:effectExtent l="0" t="0" r="0" b="9525"/>
            <wp:docPr id="644692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2093"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03BEC1F" w14:textId="0828F176" w:rsidR="00FD10DB" w:rsidRPr="00D816E4" w:rsidRDefault="00FD10DB" w:rsidP="00FD10DB">
      <w:pPr>
        <w:rPr>
          <w:rFonts w:ascii="Calibri" w:hAnsi="Calibri" w:cs="Calibri"/>
          <w:b/>
          <w:bCs/>
        </w:rPr>
      </w:pPr>
    </w:p>
    <w:p w14:paraId="4977329E" w14:textId="6C08612F" w:rsidR="00FD10DB" w:rsidRPr="00D816E4" w:rsidRDefault="00FD10DB" w:rsidP="00FD10DB">
      <w:pPr>
        <w:rPr>
          <w:rFonts w:ascii="Calibri" w:hAnsi="Calibri" w:cs="Calibri"/>
          <w:b/>
          <w:bCs/>
        </w:rPr>
      </w:pPr>
    </w:p>
    <w:p w14:paraId="5DD17AC1" w14:textId="77777777" w:rsidR="00FD10DB" w:rsidRPr="00D816E4" w:rsidRDefault="00FD10DB" w:rsidP="00FD10DB">
      <w:pPr>
        <w:rPr>
          <w:rFonts w:ascii="Calibri" w:hAnsi="Calibri" w:cs="Calibri"/>
          <w:b/>
          <w:bCs/>
        </w:rPr>
      </w:pPr>
    </w:p>
    <w:p w14:paraId="081D4427" w14:textId="77777777" w:rsidR="00FD10DB" w:rsidRPr="00D816E4" w:rsidRDefault="00FD10DB" w:rsidP="00FD10DB">
      <w:pPr>
        <w:rPr>
          <w:rFonts w:ascii="Calibri" w:hAnsi="Calibri" w:cs="Calibri"/>
          <w:b/>
          <w:bCs/>
        </w:rPr>
      </w:pPr>
    </w:p>
    <w:p w14:paraId="6A9DCCFC" w14:textId="7E94B0CA" w:rsidR="00FD10DB" w:rsidRPr="00D816E4" w:rsidRDefault="00FD10DB" w:rsidP="00FD10DB">
      <w:pPr>
        <w:rPr>
          <w:rFonts w:ascii="Calibri" w:hAnsi="Calibri" w:cs="Calibri"/>
          <w:b/>
          <w:bCs/>
        </w:rPr>
      </w:pPr>
    </w:p>
    <w:p w14:paraId="2C10AB28" w14:textId="77777777" w:rsidR="00AD5185" w:rsidRPr="00D816E4" w:rsidRDefault="00AD5185" w:rsidP="00FD10DB">
      <w:pPr>
        <w:rPr>
          <w:rFonts w:ascii="Calibri" w:hAnsi="Calibri" w:cs="Calibri"/>
          <w:b/>
          <w:bCs/>
        </w:rPr>
      </w:pPr>
    </w:p>
    <w:p w14:paraId="74022BDA" w14:textId="77777777" w:rsidR="00D816E4" w:rsidRPr="00D816E4" w:rsidRDefault="00D816E4" w:rsidP="00FD10DB">
      <w:pPr>
        <w:rPr>
          <w:rFonts w:ascii="Calibri" w:hAnsi="Calibri" w:cs="Calibri"/>
          <w:b/>
          <w:bCs/>
        </w:rPr>
      </w:pPr>
    </w:p>
    <w:p w14:paraId="04B09204" w14:textId="77777777" w:rsidR="00D816E4" w:rsidRPr="00D816E4" w:rsidRDefault="00D816E4" w:rsidP="00FD10DB">
      <w:pPr>
        <w:rPr>
          <w:rFonts w:ascii="Calibri" w:hAnsi="Calibri" w:cs="Calibri"/>
          <w:b/>
          <w:bCs/>
        </w:rPr>
      </w:pPr>
    </w:p>
    <w:p w14:paraId="71101DD4" w14:textId="0C51C3A1" w:rsidR="00FD10DB" w:rsidRPr="00FD10DB" w:rsidRDefault="00FD10DB" w:rsidP="00AD5185">
      <w:pPr>
        <w:jc w:val="center"/>
        <w:rPr>
          <w:rFonts w:ascii="Calibri" w:hAnsi="Calibri" w:cs="Calibri"/>
          <w:b/>
          <w:bCs/>
          <w:sz w:val="28"/>
          <w:szCs w:val="28"/>
        </w:rPr>
      </w:pPr>
      <w:r w:rsidRPr="00FD10DB">
        <w:rPr>
          <w:rFonts w:ascii="Calibri" w:hAnsi="Calibri" w:cs="Calibri"/>
          <w:b/>
          <w:bCs/>
          <w:sz w:val="28"/>
          <w:szCs w:val="28"/>
        </w:rPr>
        <w:t>Hypothesis 3</w:t>
      </w:r>
    </w:p>
    <w:p w14:paraId="7A4BA72F" w14:textId="77777777" w:rsidR="00AD5185" w:rsidRPr="00D816E4" w:rsidRDefault="00AD5185" w:rsidP="00AD5185">
      <w:pPr>
        <w:rPr>
          <w:rFonts w:ascii="Calibri" w:hAnsi="Calibri" w:cs="Calibri"/>
        </w:rPr>
      </w:pPr>
    </w:p>
    <w:p w14:paraId="56C993CD" w14:textId="5D8CB6BF" w:rsidR="00AD5185" w:rsidRPr="00AD5185" w:rsidRDefault="00AD5185" w:rsidP="00AD5185">
      <w:pPr>
        <w:rPr>
          <w:rFonts w:ascii="Calibri" w:hAnsi="Calibri" w:cs="Calibri"/>
        </w:rPr>
      </w:pPr>
      <w:r w:rsidRPr="00AD5185">
        <w:rPr>
          <w:rFonts w:ascii="Calibri" w:hAnsi="Calibri" w:cs="Calibri"/>
        </w:rPr>
        <w:t>There i</w:t>
      </w:r>
      <w:r w:rsidRPr="00D816E4">
        <w:rPr>
          <w:rFonts w:ascii="Calibri" w:hAnsi="Calibri" w:cs="Calibri"/>
        </w:rPr>
        <w:t xml:space="preserve">s </w:t>
      </w:r>
      <w:r w:rsidRPr="00AD5185">
        <w:rPr>
          <w:rFonts w:ascii="Calibri" w:hAnsi="Calibri" w:cs="Calibri"/>
        </w:rPr>
        <w:t>a positive correlation between the number of COVID-19 positive cases and the number of fatalities in a county in New York State.</w:t>
      </w:r>
    </w:p>
    <w:p w14:paraId="0E37FB6A" w14:textId="77777777" w:rsidR="00AD5185" w:rsidRPr="00D816E4" w:rsidRDefault="00AD5185" w:rsidP="00AD5185">
      <w:pPr>
        <w:rPr>
          <w:rFonts w:ascii="Calibri" w:hAnsi="Calibri" w:cs="Calibri"/>
        </w:rPr>
      </w:pPr>
      <w:r w:rsidRPr="00AD5185">
        <w:rPr>
          <w:rFonts w:ascii="Calibri" w:hAnsi="Calibri" w:cs="Calibri"/>
          <w:b/>
          <w:bCs/>
        </w:rPr>
        <w:t>Conclusion</w:t>
      </w:r>
      <w:r w:rsidRPr="00AD5185">
        <w:rPr>
          <w:rFonts w:ascii="Calibri" w:hAnsi="Calibri" w:cs="Calibri"/>
        </w:rPr>
        <w:t>: There is indeed a positive correlation between the number of COVID-19 positive cases and the number of fatalities in a county in New York State. This implies that areas with a higher number of positive cases are more likely to experience a higher number of fatalities due to COVID-19</w:t>
      </w:r>
    </w:p>
    <w:p w14:paraId="5F80683A" w14:textId="77777777" w:rsidR="00AD5185" w:rsidRPr="00D816E4" w:rsidRDefault="00AD5185" w:rsidP="00AD5185">
      <w:pPr>
        <w:rPr>
          <w:rFonts w:ascii="Calibri" w:hAnsi="Calibri" w:cs="Calibri"/>
        </w:rPr>
      </w:pPr>
    </w:p>
    <w:p w14:paraId="091AB827" w14:textId="44A73713" w:rsidR="00AD5185" w:rsidRPr="00AD5185" w:rsidRDefault="00D816E4" w:rsidP="00AD5185">
      <w:pPr>
        <w:rPr>
          <w:rFonts w:ascii="Calibri" w:hAnsi="Calibri" w:cs="Calibri"/>
        </w:rPr>
      </w:pPr>
      <w:r w:rsidRPr="00D816E4">
        <w:rPr>
          <w:rFonts w:ascii="Calibri" w:hAnsi="Calibri" w:cs="Calibri"/>
          <w:noProof/>
        </w:rPr>
        <w:drawing>
          <wp:inline distT="0" distB="0" distL="0" distR="0" wp14:anchorId="5DF8BEE6" wp14:editId="3687AC0B">
            <wp:extent cx="5943600" cy="3343275"/>
            <wp:effectExtent l="0" t="0" r="0" b="9525"/>
            <wp:docPr id="16533033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03366" name="Picture 1" descr="A screenshot of a graph&#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0B03633" w14:textId="77777777" w:rsidR="00AD5185" w:rsidRPr="00D816E4" w:rsidRDefault="00AD5185" w:rsidP="00FD10DB">
      <w:pPr>
        <w:rPr>
          <w:rFonts w:ascii="Calibri" w:hAnsi="Calibri" w:cs="Calibri"/>
          <w:b/>
          <w:bCs/>
        </w:rPr>
      </w:pPr>
    </w:p>
    <w:p w14:paraId="483CB689" w14:textId="77777777" w:rsidR="00AD5185" w:rsidRPr="00D816E4" w:rsidRDefault="00AD5185" w:rsidP="00FD10DB">
      <w:pPr>
        <w:rPr>
          <w:rFonts w:ascii="Calibri" w:hAnsi="Calibri" w:cs="Calibri"/>
          <w:b/>
          <w:bCs/>
        </w:rPr>
      </w:pPr>
    </w:p>
    <w:p w14:paraId="401AA52E" w14:textId="77777777" w:rsidR="00AD5185" w:rsidRPr="00D816E4" w:rsidRDefault="00AD5185" w:rsidP="00FD10DB">
      <w:pPr>
        <w:rPr>
          <w:rFonts w:ascii="Calibri" w:hAnsi="Calibri" w:cs="Calibri"/>
          <w:b/>
          <w:bCs/>
        </w:rPr>
      </w:pPr>
    </w:p>
    <w:p w14:paraId="78B7C2FD" w14:textId="77777777" w:rsidR="00AD5185" w:rsidRPr="00D816E4" w:rsidRDefault="00AD5185" w:rsidP="00FD10DB">
      <w:pPr>
        <w:rPr>
          <w:rFonts w:ascii="Calibri" w:hAnsi="Calibri" w:cs="Calibri"/>
          <w:b/>
          <w:bCs/>
        </w:rPr>
      </w:pPr>
    </w:p>
    <w:p w14:paraId="3CB653BB" w14:textId="77777777" w:rsidR="00AD5185" w:rsidRPr="00D816E4" w:rsidRDefault="00AD5185" w:rsidP="00FD10DB">
      <w:pPr>
        <w:rPr>
          <w:rFonts w:ascii="Calibri" w:hAnsi="Calibri" w:cs="Calibri"/>
          <w:b/>
          <w:bCs/>
        </w:rPr>
      </w:pPr>
    </w:p>
    <w:p w14:paraId="3F323897" w14:textId="77777777" w:rsidR="00AD5185" w:rsidRPr="00D816E4" w:rsidRDefault="00AD5185" w:rsidP="00FD10DB">
      <w:pPr>
        <w:rPr>
          <w:rFonts w:ascii="Calibri" w:hAnsi="Calibri" w:cs="Calibri"/>
          <w:b/>
          <w:bCs/>
        </w:rPr>
      </w:pPr>
    </w:p>
    <w:p w14:paraId="360F1B46" w14:textId="77777777" w:rsidR="00AD5185" w:rsidRPr="00D816E4" w:rsidRDefault="00AD5185" w:rsidP="00FD10DB">
      <w:pPr>
        <w:rPr>
          <w:rFonts w:ascii="Calibri" w:hAnsi="Calibri" w:cs="Calibri"/>
          <w:b/>
          <w:bCs/>
        </w:rPr>
      </w:pPr>
    </w:p>
    <w:p w14:paraId="37906656" w14:textId="77777777" w:rsidR="00AD5185" w:rsidRPr="00D816E4" w:rsidRDefault="00AD5185" w:rsidP="00FD10DB">
      <w:pPr>
        <w:rPr>
          <w:rFonts w:ascii="Calibri" w:hAnsi="Calibri" w:cs="Calibri"/>
          <w:b/>
          <w:bCs/>
        </w:rPr>
      </w:pPr>
    </w:p>
    <w:p w14:paraId="6196F766" w14:textId="77777777" w:rsidR="00D816E4" w:rsidRPr="00D816E4" w:rsidRDefault="00D816E4" w:rsidP="00FD10DB">
      <w:pPr>
        <w:rPr>
          <w:rFonts w:ascii="Calibri" w:hAnsi="Calibri" w:cs="Calibri"/>
          <w:b/>
          <w:bCs/>
        </w:rPr>
      </w:pPr>
    </w:p>
    <w:p w14:paraId="6B9B63A0" w14:textId="08D1F87C" w:rsidR="00FD10DB" w:rsidRPr="00D816E4" w:rsidRDefault="00FD10DB" w:rsidP="00AD5185">
      <w:pPr>
        <w:jc w:val="center"/>
        <w:rPr>
          <w:rFonts w:ascii="Calibri" w:hAnsi="Calibri" w:cs="Calibri"/>
          <w:b/>
          <w:bCs/>
          <w:sz w:val="28"/>
          <w:szCs w:val="28"/>
        </w:rPr>
      </w:pPr>
      <w:r w:rsidRPr="00FD10DB">
        <w:rPr>
          <w:rFonts w:ascii="Calibri" w:hAnsi="Calibri" w:cs="Calibri"/>
          <w:b/>
          <w:bCs/>
          <w:sz w:val="28"/>
          <w:szCs w:val="28"/>
        </w:rPr>
        <w:t>Hypothesis 4</w:t>
      </w:r>
    </w:p>
    <w:p w14:paraId="0F6549F7" w14:textId="77777777" w:rsidR="00AD5185" w:rsidRPr="00FD10DB" w:rsidRDefault="00AD5185" w:rsidP="00AD5185">
      <w:pPr>
        <w:jc w:val="center"/>
        <w:rPr>
          <w:rFonts w:ascii="Calibri" w:hAnsi="Calibri" w:cs="Calibri"/>
          <w:b/>
          <w:bCs/>
          <w:sz w:val="28"/>
          <w:szCs w:val="28"/>
        </w:rPr>
      </w:pPr>
    </w:p>
    <w:p w14:paraId="286FF2C5" w14:textId="77777777" w:rsidR="00AD5185" w:rsidRPr="00AD5185" w:rsidRDefault="00AD5185" w:rsidP="00AD5185">
      <w:pPr>
        <w:rPr>
          <w:rFonts w:ascii="Calibri" w:hAnsi="Calibri" w:cs="Calibri"/>
        </w:rPr>
      </w:pPr>
      <w:r w:rsidRPr="00AD5185">
        <w:rPr>
          <w:rFonts w:ascii="Calibri" w:hAnsi="Calibri" w:cs="Calibri"/>
        </w:rPr>
        <w:t xml:space="preserve">There exists a strong and significant correlation between the number of individuals who received their first dose of COVID-19 vaccination during a given quarter in a specific location and the number of newly admitted patients with COVID-19 in the subsequent quarter in the same location. </w:t>
      </w:r>
    </w:p>
    <w:p w14:paraId="69C145CF" w14:textId="77777777" w:rsidR="00AD5185" w:rsidRPr="00AD5185" w:rsidRDefault="00AD5185" w:rsidP="00AD5185">
      <w:pPr>
        <w:rPr>
          <w:rFonts w:ascii="Calibri" w:hAnsi="Calibri" w:cs="Calibri"/>
        </w:rPr>
      </w:pPr>
      <w:r w:rsidRPr="00AD5185">
        <w:rPr>
          <w:rFonts w:ascii="Calibri" w:hAnsi="Calibri" w:cs="Calibri"/>
          <w:b/>
          <w:bCs/>
        </w:rPr>
        <w:t>Conclusion</w:t>
      </w:r>
      <w:r w:rsidRPr="00AD5185">
        <w:rPr>
          <w:rFonts w:ascii="Calibri" w:hAnsi="Calibri" w:cs="Calibri"/>
        </w:rPr>
        <w:t xml:space="preserve">: There is no strong and significant correlation between the number of individuals who received their first dose of COVID-19 vaccination in a specific location during a given quarter and the number of newly admitted COVID-19 patients in the same location during the subsequent quarter. </w:t>
      </w:r>
    </w:p>
    <w:p w14:paraId="446124F2" w14:textId="77777777" w:rsidR="00AD5185" w:rsidRPr="00D816E4" w:rsidRDefault="00AD5185" w:rsidP="00FD10DB">
      <w:pPr>
        <w:rPr>
          <w:rFonts w:ascii="Calibri" w:hAnsi="Calibri" w:cs="Calibri"/>
          <w:b/>
          <w:bCs/>
        </w:rPr>
      </w:pPr>
    </w:p>
    <w:p w14:paraId="0BD4D785" w14:textId="764221B6" w:rsidR="00AD5185" w:rsidRPr="00D816E4" w:rsidRDefault="00D816E4" w:rsidP="00FD10DB">
      <w:pPr>
        <w:rPr>
          <w:rFonts w:ascii="Calibri" w:hAnsi="Calibri" w:cs="Calibri"/>
          <w:b/>
          <w:bCs/>
        </w:rPr>
      </w:pPr>
      <w:r w:rsidRPr="00D816E4">
        <w:rPr>
          <w:rFonts w:ascii="Calibri" w:hAnsi="Calibri" w:cs="Calibri"/>
          <w:noProof/>
        </w:rPr>
        <w:drawing>
          <wp:inline distT="0" distB="0" distL="0" distR="0" wp14:anchorId="62143468" wp14:editId="28A6E2D2">
            <wp:extent cx="5943600" cy="3343275"/>
            <wp:effectExtent l="0" t="0" r="0" b="9525"/>
            <wp:docPr id="1477847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791" name="Picture 1" descr="A screenshot of a computer scree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3A9AA95" w14:textId="77777777" w:rsidR="00AD5185" w:rsidRPr="00D816E4" w:rsidRDefault="00AD5185" w:rsidP="00FD10DB">
      <w:pPr>
        <w:rPr>
          <w:rFonts w:ascii="Calibri" w:hAnsi="Calibri" w:cs="Calibri"/>
          <w:b/>
          <w:bCs/>
        </w:rPr>
      </w:pPr>
    </w:p>
    <w:p w14:paraId="4820919C" w14:textId="77777777" w:rsidR="00AD5185" w:rsidRPr="00D816E4" w:rsidRDefault="00AD5185" w:rsidP="00FD10DB">
      <w:pPr>
        <w:rPr>
          <w:rFonts w:ascii="Calibri" w:hAnsi="Calibri" w:cs="Calibri"/>
          <w:b/>
          <w:bCs/>
        </w:rPr>
      </w:pPr>
    </w:p>
    <w:p w14:paraId="3589C6FC" w14:textId="77777777" w:rsidR="00AD5185" w:rsidRPr="00D816E4" w:rsidRDefault="00AD5185" w:rsidP="00FD10DB">
      <w:pPr>
        <w:rPr>
          <w:rFonts w:ascii="Calibri" w:hAnsi="Calibri" w:cs="Calibri"/>
          <w:b/>
          <w:bCs/>
        </w:rPr>
      </w:pPr>
    </w:p>
    <w:p w14:paraId="78277DA7" w14:textId="77777777" w:rsidR="00AD5185" w:rsidRPr="00D816E4" w:rsidRDefault="00AD5185" w:rsidP="00FD10DB">
      <w:pPr>
        <w:rPr>
          <w:rFonts w:ascii="Calibri" w:hAnsi="Calibri" w:cs="Calibri"/>
          <w:b/>
          <w:bCs/>
        </w:rPr>
      </w:pPr>
    </w:p>
    <w:p w14:paraId="5ECD940E" w14:textId="77777777" w:rsidR="00AD5185" w:rsidRPr="00D816E4" w:rsidRDefault="00AD5185" w:rsidP="00FD10DB">
      <w:pPr>
        <w:rPr>
          <w:rFonts w:ascii="Calibri" w:hAnsi="Calibri" w:cs="Calibri"/>
          <w:b/>
          <w:bCs/>
        </w:rPr>
      </w:pPr>
    </w:p>
    <w:p w14:paraId="49F24B5D" w14:textId="77777777" w:rsidR="00AD5185" w:rsidRPr="00D816E4" w:rsidRDefault="00AD5185" w:rsidP="00FD10DB">
      <w:pPr>
        <w:rPr>
          <w:rFonts w:ascii="Calibri" w:hAnsi="Calibri" w:cs="Calibri"/>
          <w:b/>
          <w:bCs/>
        </w:rPr>
      </w:pPr>
    </w:p>
    <w:p w14:paraId="06E86D41" w14:textId="77777777" w:rsidR="00AD5185" w:rsidRPr="00D816E4" w:rsidRDefault="00AD5185" w:rsidP="00FD10DB">
      <w:pPr>
        <w:rPr>
          <w:rFonts w:ascii="Calibri" w:hAnsi="Calibri" w:cs="Calibri"/>
          <w:b/>
          <w:bCs/>
        </w:rPr>
      </w:pPr>
    </w:p>
    <w:p w14:paraId="2063D57A" w14:textId="77777777" w:rsidR="00AD5185" w:rsidRPr="00D816E4" w:rsidRDefault="00AD5185" w:rsidP="00FD10DB">
      <w:pPr>
        <w:rPr>
          <w:rFonts w:ascii="Calibri" w:hAnsi="Calibri" w:cs="Calibri"/>
          <w:b/>
          <w:bCs/>
        </w:rPr>
      </w:pPr>
    </w:p>
    <w:p w14:paraId="47901555" w14:textId="77777777" w:rsidR="00D816E4" w:rsidRPr="00D816E4" w:rsidRDefault="00D816E4" w:rsidP="00FD10DB">
      <w:pPr>
        <w:rPr>
          <w:rFonts w:ascii="Calibri" w:hAnsi="Calibri" w:cs="Calibri"/>
          <w:b/>
          <w:bCs/>
        </w:rPr>
      </w:pPr>
    </w:p>
    <w:p w14:paraId="0520E7AF" w14:textId="1DB413AF" w:rsidR="00FD10DB" w:rsidRPr="00FD10DB" w:rsidRDefault="00FD10DB" w:rsidP="00AD5185">
      <w:pPr>
        <w:jc w:val="center"/>
        <w:rPr>
          <w:rFonts w:ascii="Calibri" w:hAnsi="Calibri" w:cs="Calibri"/>
          <w:b/>
          <w:bCs/>
          <w:sz w:val="28"/>
          <w:szCs w:val="28"/>
        </w:rPr>
      </w:pPr>
      <w:r w:rsidRPr="00FD10DB">
        <w:rPr>
          <w:rFonts w:ascii="Calibri" w:hAnsi="Calibri" w:cs="Calibri"/>
          <w:b/>
          <w:bCs/>
          <w:sz w:val="28"/>
          <w:szCs w:val="28"/>
        </w:rPr>
        <w:t>Hypothesis 5</w:t>
      </w:r>
    </w:p>
    <w:p w14:paraId="1DB08002" w14:textId="77777777" w:rsidR="00AD5185" w:rsidRPr="00D816E4" w:rsidRDefault="00AD5185" w:rsidP="00FD10DB">
      <w:pPr>
        <w:rPr>
          <w:rFonts w:ascii="Calibri" w:hAnsi="Calibri" w:cs="Calibri"/>
        </w:rPr>
      </w:pPr>
    </w:p>
    <w:p w14:paraId="27012AB1" w14:textId="77777777" w:rsidR="00AD5185" w:rsidRPr="00AD5185" w:rsidRDefault="00AD5185" w:rsidP="00AD5185">
      <w:pPr>
        <w:rPr>
          <w:rFonts w:ascii="Calibri" w:hAnsi="Calibri" w:cs="Calibri"/>
        </w:rPr>
      </w:pPr>
      <w:r w:rsidRPr="00AD5185">
        <w:rPr>
          <w:rFonts w:ascii="Calibri" w:hAnsi="Calibri" w:cs="Calibri"/>
        </w:rPr>
        <w:t>There is a significant relationship between the number of staffed acute care beds in a healthcare facility and the number of patient discharges.</w:t>
      </w:r>
    </w:p>
    <w:p w14:paraId="72CF971F" w14:textId="77777777" w:rsidR="00AD5185" w:rsidRPr="00D816E4" w:rsidRDefault="00AD5185" w:rsidP="00AD5185">
      <w:pPr>
        <w:rPr>
          <w:rFonts w:ascii="Calibri" w:hAnsi="Calibri" w:cs="Calibri"/>
        </w:rPr>
      </w:pPr>
      <w:r w:rsidRPr="00AD5185">
        <w:rPr>
          <w:rFonts w:ascii="Calibri" w:hAnsi="Calibri" w:cs="Calibri"/>
          <w:b/>
          <w:bCs/>
        </w:rPr>
        <w:t>Conclusion</w:t>
      </w:r>
      <w:r w:rsidRPr="00AD5185">
        <w:rPr>
          <w:rFonts w:ascii="Calibri" w:hAnsi="Calibri" w:cs="Calibri"/>
        </w:rPr>
        <w:t xml:space="preserve">: There is a significant relationship between the number of staffed acute care beds in a healthcare facility and the number of patient discharges. The analysis suggests that facilities with more staffed beds can discharge more patients compared to those with fewer staffed beds, potentially due to their higher capacity to provide care. </w:t>
      </w:r>
    </w:p>
    <w:p w14:paraId="77DE1C18" w14:textId="77777777" w:rsidR="00AD5185" w:rsidRPr="00D816E4" w:rsidRDefault="00AD5185" w:rsidP="00AD5185">
      <w:pPr>
        <w:rPr>
          <w:rFonts w:ascii="Calibri" w:hAnsi="Calibri" w:cs="Calibri"/>
        </w:rPr>
      </w:pPr>
    </w:p>
    <w:p w14:paraId="614AB554" w14:textId="1F5BA514" w:rsidR="00AD5185" w:rsidRPr="00AD5185" w:rsidRDefault="00D816E4" w:rsidP="00AD5185">
      <w:pPr>
        <w:rPr>
          <w:rFonts w:ascii="Calibri" w:hAnsi="Calibri" w:cs="Calibri"/>
        </w:rPr>
      </w:pPr>
      <w:r w:rsidRPr="00D816E4">
        <w:rPr>
          <w:rFonts w:ascii="Calibri" w:hAnsi="Calibri" w:cs="Calibri"/>
          <w:noProof/>
        </w:rPr>
        <w:drawing>
          <wp:inline distT="0" distB="0" distL="0" distR="0" wp14:anchorId="19D8C46A" wp14:editId="61C6905F">
            <wp:extent cx="5943600" cy="3343275"/>
            <wp:effectExtent l="0" t="0" r="0" b="9525"/>
            <wp:docPr id="3751958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5878" name="Picture 1" descr="A screenshot of a graph&#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5E9A4CA" w14:textId="77777777" w:rsidR="00FD10DB" w:rsidRPr="00D816E4" w:rsidRDefault="00FD10DB" w:rsidP="00FD10DB">
      <w:pPr>
        <w:rPr>
          <w:rFonts w:ascii="Calibri" w:hAnsi="Calibri" w:cs="Calibri"/>
          <w:b/>
          <w:bCs/>
        </w:rPr>
      </w:pPr>
    </w:p>
    <w:p w14:paraId="67C994FB" w14:textId="77777777" w:rsidR="00FD10DB" w:rsidRPr="00D816E4" w:rsidRDefault="00FD10DB" w:rsidP="00FD10DB">
      <w:pPr>
        <w:rPr>
          <w:rFonts w:ascii="Calibri" w:hAnsi="Calibri" w:cs="Calibri"/>
          <w:b/>
          <w:bCs/>
        </w:rPr>
      </w:pPr>
    </w:p>
    <w:p w14:paraId="3A0593C5" w14:textId="77777777" w:rsidR="00FD10DB" w:rsidRPr="00D816E4" w:rsidRDefault="00FD10DB" w:rsidP="00FD10DB">
      <w:pPr>
        <w:rPr>
          <w:rFonts w:ascii="Calibri" w:hAnsi="Calibri" w:cs="Calibri"/>
          <w:b/>
          <w:bCs/>
        </w:rPr>
      </w:pPr>
    </w:p>
    <w:p w14:paraId="19F5D2D0" w14:textId="77777777" w:rsidR="00FD10DB" w:rsidRDefault="00FD10DB" w:rsidP="00FD10DB">
      <w:pPr>
        <w:rPr>
          <w:b/>
          <w:bCs/>
        </w:rPr>
      </w:pPr>
    </w:p>
    <w:p w14:paraId="0B49549C" w14:textId="77777777" w:rsidR="00FD10DB" w:rsidRDefault="00FD10DB" w:rsidP="00FD10DB">
      <w:pPr>
        <w:rPr>
          <w:b/>
          <w:bCs/>
        </w:rPr>
      </w:pPr>
    </w:p>
    <w:p w14:paraId="7F15ABF4" w14:textId="77777777" w:rsidR="00FD10DB" w:rsidRDefault="00FD10DB" w:rsidP="00FD10DB">
      <w:pPr>
        <w:rPr>
          <w:b/>
          <w:bCs/>
        </w:rPr>
      </w:pPr>
    </w:p>
    <w:p w14:paraId="46BC5CE6" w14:textId="77777777" w:rsidR="00D816E4" w:rsidRDefault="00D816E4" w:rsidP="00FD10DB">
      <w:pPr>
        <w:rPr>
          <w:b/>
          <w:bCs/>
        </w:rPr>
      </w:pPr>
    </w:p>
    <w:p w14:paraId="4DE17D7E" w14:textId="77777777" w:rsidR="00D816E4" w:rsidRDefault="00D816E4" w:rsidP="00D816E4">
      <w:pPr>
        <w:jc w:val="center"/>
        <w:rPr>
          <w:rFonts w:ascii="Calibri" w:hAnsi="Calibri" w:cs="Calibri"/>
          <w:b/>
          <w:bCs/>
          <w:sz w:val="28"/>
          <w:szCs w:val="28"/>
        </w:rPr>
      </w:pPr>
      <w:r w:rsidRPr="00D816E4">
        <w:rPr>
          <w:rFonts w:ascii="Calibri" w:hAnsi="Calibri" w:cs="Calibri"/>
          <w:b/>
          <w:bCs/>
          <w:sz w:val="28"/>
          <w:szCs w:val="28"/>
        </w:rPr>
        <w:lastRenderedPageBreak/>
        <w:t>Insights and Findings</w:t>
      </w:r>
    </w:p>
    <w:p w14:paraId="3CB95F68" w14:textId="77777777" w:rsidR="00D816E4" w:rsidRPr="00D816E4" w:rsidRDefault="00D816E4" w:rsidP="00D816E4">
      <w:pPr>
        <w:jc w:val="center"/>
        <w:rPr>
          <w:rFonts w:ascii="Calibri" w:hAnsi="Calibri" w:cs="Calibri"/>
          <w:b/>
          <w:bCs/>
          <w:sz w:val="28"/>
          <w:szCs w:val="28"/>
        </w:rPr>
      </w:pPr>
    </w:p>
    <w:p w14:paraId="5E9822F6" w14:textId="77777777" w:rsidR="00D816E4" w:rsidRPr="00D816E4" w:rsidRDefault="00D816E4" w:rsidP="00D816E4">
      <w:pPr>
        <w:rPr>
          <w:rFonts w:ascii="Calibri" w:hAnsi="Calibri" w:cs="Calibri"/>
        </w:rPr>
      </w:pPr>
      <w:r w:rsidRPr="00D816E4">
        <w:rPr>
          <w:rFonts w:ascii="Calibri" w:hAnsi="Calibri" w:cs="Calibri"/>
        </w:rPr>
        <w:t>The analysis of COVID-19 metrics in New York State provided several critical insights that highlight the multifaceted impact of the pandemic. These findings offer valuable lessons for improving public health responses and healthcare infrastructure during future health crises.</w:t>
      </w:r>
    </w:p>
    <w:p w14:paraId="0D822F8E" w14:textId="77777777" w:rsidR="00D816E4" w:rsidRPr="00D816E4" w:rsidRDefault="00D816E4" w:rsidP="00D816E4">
      <w:pPr>
        <w:rPr>
          <w:rFonts w:ascii="Calibri" w:hAnsi="Calibri" w:cs="Calibri"/>
          <w:b/>
          <w:bCs/>
        </w:rPr>
      </w:pPr>
      <w:r w:rsidRPr="00D816E4">
        <w:rPr>
          <w:rFonts w:ascii="Calibri" w:hAnsi="Calibri" w:cs="Calibri"/>
          <w:b/>
          <w:bCs/>
        </w:rPr>
        <w:t>1. Age-Based Vulnerability</w:t>
      </w:r>
    </w:p>
    <w:p w14:paraId="56671B8C" w14:textId="77777777" w:rsidR="00D816E4" w:rsidRPr="00D816E4" w:rsidRDefault="00D816E4" w:rsidP="00D816E4">
      <w:pPr>
        <w:numPr>
          <w:ilvl w:val="0"/>
          <w:numId w:val="18"/>
        </w:numPr>
        <w:spacing w:after="0"/>
        <w:rPr>
          <w:rFonts w:ascii="Calibri" w:hAnsi="Calibri" w:cs="Calibri"/>
        </w:rPr>
      </w:pPr>
      <w:r w:rsidRPr="00D816E4">
        <w:rPr>
          <w:rFonts w:ascii="Calibri" w:hAnsi="Calibri" w:cs="Calibri"/>
        </w:rPr>
        <w:t>Individuals aged 65 and older consistently demonstrated the highest rates of hospitalization and fatalities compared to other age groups.</w:t>
      </w:r>
    </w:p>
    <w:p w14:paraId="4C98B635" w14:textId="77777777" w:rsidR="00D816E4" w:rsidRPr="00D816E4" w:rsidRDefault="00D816E4" w:rsidP="00D816E4">
      <w:pPr>
        <w:numPr>
          <w:ilvl w:val="0"/>
          <w:numId w:val="18"/>
        </w:numPr>
        <w:spacing w:after="0"/>
        <w:rPr>
          <w:rFonts w:ascii="Calibri" w:hAnsi="Calibri" w:cs="Calibri"/>
        </w:rPr>
      </w:pPr>
      <w:r w:rsidRPr="00D816E4">
        <w:rPr>
          <w:rFonts w:ascii="Calibri" w:hAnsi="Calibri" w:cs="Calibri"/>
        </w:rPr>
        <w:t>This demographic's heightened vulnerability underscores the need for targeted intervention strategies, such as prioritizing vaccinations, early treatment access, and protective measures.</w:t>
      </w:r>
    </w:p>
    <w:p w14:paraId="1992DBC2" w14:textId="77777777" w:rsidR="00D816E4" w:rsidRPr="00D816E4" w:rsidRDefault="00D816E4" w:rsidP="00D816E4">
      <w:pPr>
        <w:numPr>
          <w:ilvl w:val="0"/>
          <w:numId w:val="18"/>
        </w:numPr>
        <w:rPr>
          <w:rFonts w:ascii="Calibri" w:hAnsi="Calibri" w:cs="Calibri"/>
        </w:rPr>
      </w:pPr>
      <w:r w:rsidRPr="00D816E4">
        <w:rPr>
          <w:rFonts w:ascii="Calibri" w:hAnsi="Calibri" w:cs="Calibri"/>
        </w:rPr>
        <w:t>Policies aimed at safeguarding older adults, including tailored healthcare resources and outreach programs, are crucial during pandemics.</w:t>
      </w:r>
    </w:p>
    <w:p w14:paraId="32056669" w14:textId="77777777" w:rsidR="00D816E4" w:rsidRPr="00D816E4" w:rsidRDefault="00D816E4" w:rsidP="00D816E4">
      <w:pPr>
        <w:rPr>
          <w:rFonts w:ascii="Calibri" w:hAnsi="Calibri" w:cs="Calibri"/>
          <w:b/>
          <w:bCs/>
        </w:rPr>
      </w:pPr>
      <w:r w:rsidRPr="00D816E4">
        <w:rPr>
          <w:rFonts w:ascii="Calibri" w:hAnsi="Calibri" w:cs="Calibri"/>
          <w:b/>
          <w:bCs/>
        </w:rPr>
        <w:t>2. Vaccination Impact</w:t>
      </w:r>
    </w:p>
    <w:p w14:paraId="1436A82F" w14:textId="77777777" w:rsidR="00D816E4" w:rsidRPr="00D816E4" w:rsidRDefault="00D816E4" w:rsidP="00D816E4">
      <w:pPr>
        <w:numPr>
          <w:ilvl w:val="0"/>
          <w:numId w:val="19"/>
        </w:numPr>
        <w:spacing w:after="0"/>
        <w:rPr>
          <w:rFonts w:ascii="Calibri" w:hAnsi="Calibri" w:cs="Calibri"/>
        </w:rPr>
      </w:pPr>
      <w:r w:rsidRPr="00D816E4">
        <w:rPr>
          <w:rFonts w:ascii="Calibri" w:hAnsi="Calibri" w:cs="Calibri"/>
        </w:rPr>
        <w:t>Vaccination efforts played a pivotal role in reducing severe outcomes, particularly ICU stress. Counties with higher vaccination rates reported fewer newly occupied ICU beds, suggesting the vaccines' effectiveness in preventing critical cases.</w:t>
      </w:r>
    </w:p>
    <w:p w14:paraId="0FDEC4FB" w14:textId="77777777" w:rsidR="00D816E4" w:rsidRPr="00D816E4" w:rsidRDefault="00D816E4" w:rsidP="00D816E4">
      <w:pPr>
        <w:numPr>
          <w:ilvl w:val="0"/>
          <w:numId w:val="19"/>
        </w:numPr>
        <w:spacing w:after="0"/>
        <w:rPr>
          <w:rFonts w:ascii="Calibri" w:hAnsi="Calibri" w:cs="Calibri"/>
        </w:rPr>
      </w:pPr>
      <w:r w:rsidRPr="00D816E4">
        <w:rPr>
          <w:rFonts w:ascii="Calibri" w:hAnsi="Calibri" w:cs="Calibri"/>
        </w:rPr>
        <w:t>However, the data indicated that vaccination rates were less predictive of overall hospitalization trends. This suggests that while vaccines reduce severe cases, hospitalization drivers may include factors like pre-existing conditions and viral variants.</w:t>
      </w:r>
    </w:p>
    <w:p w14:paraId="7037839C" w14:textId="77777777" w:rsidR="00D816E4" w:rsidRPr="00D816E4" w:rsidRDefault="00D816E4" w:rsidP="00D816E4">
      <w:pPr>
        <w:numPr>
          <w:ilvl w:val="0"/>
          <w:numId w:val="19"/>
        </w:numPr>
        <w:rPr>
          <w:rFonts w:ascii="Calibri" w:hAnsi="Calibri" w:cs="Calibri"/>
        </w:rPr>
      </w:pPr>
      <w:r w:rsidRPr="00D816E4">
        <w:rPr>
          <w:rFonts w:ascii="Calibri" w:hAnsi="Calibri" w:cs="Calibri"/>
        </w:rPr>
        <w:t>The findings highlight the importance of sustaining vaccination campaigns, especially in regions with lower uptake, to protect healthcare resources.</w:t>
      </w:r>
    </w:p>
    <w:p w14:paraId="1CC0DAE1" w14:textId="77777777" w:rsidR="00D816E4" w:rsidRPr="00D816E4" w:rsidRDefault="00D816E4" w:rsidP="00D816E4">
      <w:pPr>
        <w:rPr>
          <w:rFonts w:ascii="Calibri" w:hAnsi="Calibri" w:cs="Calibri"/>
          <w:b/>
          <w:bCs/>
        </w:rPr>
      </w:pPr>
      <w:r w:rsidRPr="00D816E4">
        <w:rPr>
          <w:rFonts w:ascii="Calibri" w:hAnsi="Calibri" w:cs="Calibri"/>
          <w:b/>
          <w:bCs/>
        </w:rPr>
        <w:t>3. Healthcare Infrastructure</w:t>
      </w:r>
    </w:p>
    <w:p w14:paraId="2D99B019" w14:textId="77777777" w:rsidR="00D816E4" w:rsidRPr="00D816E4" w:rsidRDefault="00D816E4" w:rsidP="00D816E4">
      <w:pPr>
        <w:numPr>
          <w:ilvl w:val="0"/>
          <w:numId w:val="20"/>
        </w:numPr>
        <w:spacing w:after="0"/>
        <w:rPr>
          <w:rFonts w:ascii="Calibri" w:hAnsi="Calibri" w:cs="Calibri"/>
        </w:rPr>
      </w:pPr>
      <w:r w:rsidRPr="00D816E4">
        <w:rPr>
          <w:rFonts w:ascii="Calibri" w:hAnsi="Calibri" w:cs="Calibri"/>
        </w:rPr>
        <w:t>A strong correlation was observed between the number of staffed acute care beds and patient discharge rates. Facilities with more staffed beds managed higher volumes of patients efficiently, reflecting their ability to provide timely care during surges.</w:t>
      </w:r>
    </w:p>
    <w:p w14:paraId="7C05780F" w14:textId="77777777" w:rsidR="00D816E4" w:rsidRPr="00D816E4" w:rsidRDefault="00D816E4" w:rsidP="00D816E4">
      <w:pPr>
        <w:numPr>
          <w:ilvl w:val="0"/>
          <w:numId w:val="20"/>
        </w:numPr>
        <w:spacing w:after="0"/>
        <w:rPr>
          <w:rFonts w:ascii="Calibri" w:hAnsi="Calibri" w:cs="Calibri"/>
        </w:rPr>
      </w:pPr>
      <w:r w:rsidRPr="00D816E4">
        <w:rPr>
          <w:rFonts w:ascii="Calibri" w:hAnsi="Calibri" w:cs="Calibri"/>
        </w:rPr>
        <w:t>This emphasizes the importance of resource planning, including staffing and bed allocation, to ensure healthcare systems remain resilient during crises.</w:t>
      </w:r>
    </w:p>
    <w:p w14:paraId="78DBD480" w14:textId="77777777" w:rsidR="00D816E4" w:rsidRPr="00D816E4" w:rsidRDefault="00D816E4" w:rsidP="00D816E4">
      <w:pPr>
        <w:numPr>
          <w:ilvl w:val="0"/>
          <w:numId w:val="20"/>
        </w:numPr>
        <w:rPr>
          <w:rFonts w:ascii="Calibri" w:hAnsi="Calibri" w:cs="Calibri"/>
        </w:rPr>
      </w:pPr>
      <w:r w:rsidRPr="00D816E4">
        <w:rPr>
          <w:rFonts w:ascii="Calibri" w:hAnsi="Calibri" w:cs="Calibri"/>
        </w:rPr>
        <w:t>Investment in flexible healthcare infrastructure, such as surge capacity for beds and staff, is vital for managing future outbreaks.</w:t>
      </w:r>
    </w:p>
    <w:p w14:paraId="247438D9" w14:textId="77777777" w:rsidR="00D816E4" w:rsidRPr="00D816E4" w:rsidRDefault="00D816E4" w:rsidP="00D816E4">
      <w:pPr>
        <w:rPr>
          <w:rFonts w:ascii="Calibri" w:hAnsi="Calibri" w:cs="Calibri"/>
          <w:b/>
          <w:bCs/>
        </w:rPr>
      </w:pPr>
      <w:r w:rsidRPr="00D816E4">
        <w:rPr>
          <w:rFonts w:ascii="Calibri" w:hAnsi="Calibri" w:cs="Calibri"/>
          <w:b/>
          <w:bCs/>
        </w:rPr>
        <w:t>4. Case-Fatality Trends</w:t>
      </w:r>
    </w:p>
    <w:p w14:paraId="19B5AA89" w14:textId="77777777" w:rsidR="00D816E4" w:rsidRPr="00D816E4" w:rsidRDefault="00D816E4" w:rsidP="00D816E4">
      <w:pPr>
        <w:numPr>
          <w:ilvl w:val="0"/>
          <w:numId w:val="21"/>
        </w:numPr>
        <w:spacing w:after="0"/>
        <w:rPr>
          <w:rFonts w:ascii="Calibri" w:hAnsi="Calibri" w:cs="Calibri"/>
        </w:rPr>
      </w:pPr>
      <w:r w:rsidRPr="00D816E4">
        <w:rPr>
          <w:rFonts w:ascii="Calibri" w:hAnsi="Calibri" w:cs="Calibri"/>
        </w:rPr>
        <w:t>Higher infection rates directly correlated with increased fatalities, particularly during periods of uncontrolled spread. This reinforces the need for proactive containment measures, such as testing, contact tracing, and public awareness campaigns, to reduce transmission in high-risk zones.</w:t>
      </w:r>
    </w:p>
    <w:p w14:paraId="695C0B1B" w14:textId="77777777" w:rsidR="00D816E4" w:rsidRPr="00D816E4" w:rsidRDefault="00D816E4" w:rsidP="00D816E4">
      <w:pPr>
        <w:numPr>
          <w:ilvl w:val="0"/>
          <w:numId w:val="21"/>
        </w:numPr>
        <w:spacing w:after="0"/>
        <w:rPr>
          <w:rFonts w:ascii="Calibri" w:hAnsi="Calibri" w:cs="Calibri"/>
        </w:rPr>
      </w:pPr>
      <w:r w:rsidRPr="00D816E4">
        <w:rPr>
          <w:rFonts w:ascii="Calibri" w:hAnsi="Calibri" w:cs="Calibri"/>
        </w:rPr>
        <w:t>Counties experiencing surges in infections often faced simultaneous strain on healthcare resources, leading to compounded challenges in managing outcomes.</w:t>
      </w:r>
    </w:p>
    <w:p w14:paraId="5B2B8C36" w14:textId="5E608FEA" w:rsidR="002D422A" w:rsidRDefault="00D816E4" w:rsidP="002D422A">
      <w:pPr>
        <w:numPr>
          <w:ilvl w:val="0"/>
          <w:numId w:val="21"/>
        </w:numPr>
        <w:spacing w:after="0"/>
        <w:rPr>
          <w:rFonts w:ascii="Calibri" w:hAnsi="Calibri" w:cs="Calibri"/>
        </w:rPr>
      </w:pPr>
      <w:r w:rsidRPr="00D816E4">
        <w:rPr>
          <w:rFonts w:ascii="Calibri" w:hAnsi="Calibri" w:cs="Calibri"/>
        </w:rPr>
        <w:t>These trends highlight the importance of early interventions to prevent outbreaks from escalating into widespread crises.</w:t>
      </w:r>
    </w:p>
    <w:p w14:paraId="167B87EE" w14:textId="77777777" w:rsidR="002D422A" w:rsidRPr="002D422A" w:rsidRDefault="002D422A" w:rsidP="002D422A">
      <w:pPr>
        <w:spacing w:after="0"/>
        <w:jc w:val="center"/>
        <w:rPr>
          <w:rFonts w:ascii="Calibri" w:hAnsi="Calibri" w:cs="Calibri"/>
          <w:b/>
          <w:bCs/>
          <w:sz w:val="28"/>
          <w:szCs w:val="28"/>
        </w:rPr>
      </w:pPr>
      <w:r w:rsidRPr="002D422A">
        <w:rPr>
          <w:rFonts w:ascii="Calibri" w:hAnsi="Calibri" w:cs="Calibri"/>
          <w:b/>
          <w:bCs/>
          <w:sz w:val="28"/>
          <w:szCs w:val="28"/>
        </w:rPr>
        <w:lastRenderedPageBreak/>
        <w:t>Visual Summaries</w:t>
      </w:r>
    </w:p>
    <w:p w14:paraId="6F1D42F7" w14:textId="77777777" w:rsidR="002D422A" w:rsidRDefault="002D422A" w:rsidP="002D422A">
      <w:pPr>
        <w:spacing w:after="0"/>
        <w:rPr>
          <w:rFonts w:ascii="Calibri" w:hAnsi="Calibri" w:cs="Calibri"/>
        </w:rPr>
      </w:pPr>
    </w:p>
    <w:p w14:paraId="1C1A8004" w14:textId="2EF7AFBA" w:rsidR="002D422A" w:rsidRPr="002D422A" w:rsidRDefault="002D422A" w:rsidP="002D422A">
      <w:pPr>
        <w:rPr>
          <w:rFonts w:ascii="Calibri" w:hAnsi="Calibri" w:cs="Calibri"/>
        </w:rPr>
      </w:pPr>
      <w:r w:rsidRPr="002D422A">
        <w:rPr>
          <w:rFonts w:ascii="Calibri" w:hAnsi="Calibri" w:cs="Calibri"/>
        </w:rPr>
        <w:t>Visualizations played a critical role in this analysis by offering clear, accessible insights into the data trends and relationships. The graphical representations highlighted key findings and helped communicate the pandemic's impact in New York State. The following visualizations were used:</w:t>
      </w:r>
    </w:p>
    <w:p w14:paraId="3FADE907" w14:textId="77777777" w:rsidR="002D422A" w:rsidRPr="002D422A" w:rsidRDefault="002D422A" w:rsidP="002D422A">
      <w:pPr>
        <w:rPr>
          <w:rFonts w:ascii="Calibri" w:hAnsi="Calibri" w:cs="Calibri"/>
          <w:b/>
          <w:bCs/>
        </w:rPr>
      </w:pPr>
      <w:r w:rsidRPr="002D422A">
        <w:rPr>
          <w:rFonts w:ascii="Calibri" w:hAnsi="Calibri" w:cs="Calibri"/>
          <w:b/>
          <w:bCs/>
        </w:rPr>
        <w:t>1. Line Graphs Showing Hospitalization Trends by Age Group</w:t>
      </w:r>
    </w:p>
    <w:p w14:paraId="0DD187A4" w14:textId="77777777" w:rsidR="002D422A" w:rsidRPr="002D422A" w:rsidRDefault="002D422A" w:rsidP="002D422A">
      <w:pPr>
        <w:numPr>
          <w:ilvl w:val="0"/>
          <w:numId w:val="22"/>
        </w:numPr>
        <w:spacing w:after="0"/>
        <w:rPr>
          <w:rFonts w:ascii="Calibri" w:hAnsi="Calibri" w:cs="Calibri"/>
        </w:rPr>
      </w:pPr>
      <w:r w:rsidRPr="002D422A">
        <w:rPr>
          <w:rFonts w:ascii="Calibri" w:hAnsi="Calibri" w:cs="Calibri"/>
        </w:rPr>
        <w:t>These graphs displayed hospitalization rates for different age demographics over time.</w:t>
      </w:r>
    </w:p>
    <w:p w14:paraId="3A4D46BE" w14:textId="77777777" w:rsidR="002D422A" w:rsidRPr="002D422A" w:rsidRDefault="002D422A" w:rsidP="002D422A">
      <w:pPr>
        <w:numPr>
          <w:ilvl w:val="0"/>
          <w:numId w:val="22"/>
        </w:numPr>
        <w:spacing w:after="0"/>
        <w:rPr>
          <w:rFonts w:ascii="Calibri" w:hAnsi="Calibri" w:cs="Calibri"/>
        </w:rPr>
      </w:pPr>
      <w:r w:rsidRPr="002D422A">
        <w:rPr>
          <w:rFonts w:ascii="Calibri" w:hAnsi="Calibri" w:cs="Calibri"/>
        </w:rPr>
        <w:t>The steep increases during pandemic peaks revealed the disproportionate burden on individuals aged 65 and older, reinforcing their higher vulnerability to severe COVID-19 outcomes.</w:t>
      </w:r>
    </w:p>
    <w:p w14:paraId="419FA849" w14:textId="77777777" w:rsidR="002D422A" w:rsidRPr="002D422A" w:rsidRDefault="002D422A" w:rsidP="002D422A">
      <w:pPr>
        <w:numPr>
          <w:ilvl w:val="0"/>
          <w:numId w:val="22"/>
        </w:numPr>
        <w:rPr>
          <w:rFonts w:ascii="Calibri" w:hAnsi="Calibri" w:cs="Calibri"/>
        </w:rPr>
      </w:pPr>
      <w:r w:rsidRPr="002D422A">
        <w:rPr>
          <w:rFonts w:ascii="Calibri" w:hAnsi="Calibri" w:cs="Calibri"/>
        </w:rPr>
        <w:t>Age-specific hospitalization trends also provided insights into the timing and effectiveness of interventions like lockdowns and vaccination campaigns.</w:t>
      </w:r>
    </w:p>
    <w:p w14:paraId="2507DA61" w14:textId="77777777" w:rsidR="002D422A" w:rsidRPr="002D422A" w:rsidRDefault="002D422A" w:rsidP="002D422A">
      <w:pPr>
        <w:rPr>
          <w:rFonts w:ascii="Calibri" w:hAnsi="Calibri" w:cs="Calibri"/>
          <w:b/>
          <w:bCs/>
        </w:rPr>
      </w:pPr>
      <w:r w:rsidRPr="002D422A">
        <w:rPr>
          <w:rFonts w:ascii="Calibri" w:hAnsi="Calibri" w:cs="Calibri"/>
          <w:b/>
          <w:bCs/>
        </w:rPr>
        <w:t>2. Scatter Plots of Vaccination Rates vs. ICU Bed Occupancy in Queens County</w:t>
      </w:r>
    </w:p>
    <w:p w14:paraId="39517742" w14:textId="77777777" w:rsidR="002D422A" w:rsidRPr="002D422A" w:rsidRDefault="002D422A" w:rsidP="002D422A">
      <w:pPr>
        <w:numPr>
          <w:ilvl w:val="0"/>
          <w:numId w:val="23"/>
        </w:numPr>
        <w:spacing w:after="0"/>
        <w:rPr>
          <w:rFonts w:ascii="Calibri" w:hAnsi="Calibri" w:cs="Calibri"/>
        </w:rPr>
      </w:pPr>
      <w:r w:rsidRPr="002D422A">
        <w:rPr>
          <w:rFonts w:ascii="Calibri" w:hAnsi="Calibri" w:cs="Calibri"/>
        </w:rPr>
        <w:t>Scatter plots illustrated the inverse relationship between vaccination rates and ICU bed occupancy, particularly in Queens County.</w:t>
      </w:r>
    </w:p>
    <w:p w14:paraId="0558E56A" w14:textId="77777777" w:rsidR="002D422A" w:rsidRPr="002D422A" w:rsidRDefault="002D422A" w:rsidP="002D422A">
      <w:pPr>
        <w:numPr>
          <w:ilvl w:val="0"/>
          <w:numId w:val="23"/>
        </w:numPr>
        <w:spacing w:after="0"/>
        <w:rPr>
          <w:rFonts w:ascii="Calibri" w:hAnsi="Calibri" w:cs="Calibri"/>
        </w:rPr>
      </w:pPr>
      <w:r w:rsidRPr="002D422A">
        <w:rPr>
          <w:rFonts w:ascii="Calibri" w:hAnsi="Calibri" w:cs="Calibri"/>
        </w:rPr>
        <w:t>Counties with higher vaccination rates showed significantly lower ICU admissions, emphasizing the role of vaccines in preventing severe cases.</w:t>
      </w:r>
    </w:p>
    <w:p w14:paraId="3E65BD18" w14:textId="77777777" w:rsidR="002D422A" w:rsidRPr="002D422A" w:rsidRDefault="002D422A" w:rsidP="002D422A">
      <w:pPr>
        <w:numPr>
          <w:ilvl w:val="0"/>
          <w:numId w:val="23"/>
        </w:numPr>
        <w:rPr>
          <w:rFonts w:ascii="Calibri" w:hAnsi="Calibri" w:cs="Calibri"/>
        </w:rPr>
      </w:pPr>
      <w:r w:rsidRPr="002D422A">
        <w:rPr>
          <w:rFonts w:ascii="Calibri" w:hAnsi="Calibri" w:cs="Calibri"/>
        </w:rPr>
        <w:t>These plots offered a clear visual representation of the impact of vaccination campaigns on healthcare system stress.</w:t>
      </w:r>
    </w:p>
    <w:p w14:paraId="6014144A" w14:textId="77777777" w:rsidR="002D422A" w:rsidRPr="002D422A" w:rsidRDefault="002D422A" w:rsidP="002D422A">
      <w:pPr>
        <w:rPr>
          <w:rFonts w:ascii="Calibri" w:hAnsi="Calibri" w:cs="Calibri"/>
          <w:b/>
          <w:bCs/>
        </w:rPr>
      </w:pPr>
      <w:r w:rsidRPr="002D422A">
        <w:rPr>
          <w:rFonts w:ascii="Calibri" w:hAnsi="Calibri" w:cs="Calibri"/>
          <w:b/>
          <w:bCs/>
        </w:rPr>
        <w:t>3. Heatmaps Comparing Case and Fatality Rates Across Counties</w:t>
      </w:r>
    </w:p>
    <w:p w14:paraId="7D5B3B2A" w14:textId="77777777" w:rsidR="002D422A" w:rsidRPr="002D422A" w:rsidRDefault="002D422A" w:rsidP="002D422A">
      <w:pPr>
        <w:numPr>
          <w:ilvl w:val="0"/>
          <w:numId w:val="24"/>
        </w:numPr>
        <w:spacing w:after="0"/>
        <w:rPr>
          <w:rFonts w:ascii="Calibri" w:hAnsi="Calibri" w:cs="Calibri"/>
        </w:rPr>
      </w:pPr>
      <w:r w:rsidRPr="002D422A">
        <w:rPr>
          <w:rFonts w:ascii="Calibri" w:hAnsi="Calibri" w:cs="Calibri"/>
        </w:rPr>
        <w:t>Heatmaps provided a geographic representation of infection and mortality rates across counties.</w:t>
      </w:r>
    </w:p>
    <w:p w14:paraId="2FF9A3C2" w14:textId="77777777" w:rsidR="002D422A" w:rsidRPr="002D422A" w:rsidRDefault="002D422A" w:rsidP="002D422A">
      <w:pPr>
        <w:numPr>
          <w:ilvl w:val="0"/>
          <w:numId w:val="24"/>
        </w:numPr>
        <w:spacing w:after="0"/>
        <w:rPr>
          <w:rFonts w:ascii="Calibri" w:hAnsi="Calibri" w:cs="Calibri"/>
        </w:rPr>
      </w:pPr>
      <w:r w:rsidRPr="002D422A">
        <w:rPr>
          <w:rFonts w:ascii="Calibri" w:hAnsi="Calibri" w:cs="Calibri"/>
        </w:rPr>
        <w:t>High-case areas often corresponded to higher fatality rates, particularly in counties with limited healthcare resources.</w:t>
      </w:r>
    </w:p>
    <w:p w14:paraId="170C19BA" w14:textId="77777777" w:rsidR="002D422A" w:rsidRPr="002D422A" w:rsidRDefault="002D422A" w:rsidP="002D422A">
      <w:pPr>
        <w:numPr>
          <w:ilvl w:val="0"/>
          <w:numId w:val="24"/>
        </w:numPr>
        <w:rPr>
          <w:rFonts w:ascii="Calibri" w:hAnsi="Calibri" w:cs="Calibri"/>
        </w:rPr>
      </w:pPr>
      <w:r w:rsidRPr="002D422A">
        <w:rPr>
          <w:rFonts w:ascii="Calibri" w:hAnsi="Calibri" w:cs="Calibri"/>
        </w:rPr>
        <w:t>This visualization made it easy to identify hotspots, aiding in understanding regional disparities in COVID-19 outcomes.</w:t>
      </w:r>
    </w:p>
    <w:p w14:paraId="4643BCA7" w14:textId="77777777" w:rsidR="002D422A" w:rsidRPr="002D422A" w:rsidRDefault="002D422A" w:rsidP="002D422A">
      <w:pPr>
        <w:rPr>
          <w:rFonts w:ascii="Calibri" w:hAnsi="Calibri" w:cs="Calibri"/>
          <w:b/>
          <w:bCs/>
        </w:rPr>
      </w:pPr>
      <w:r w:rsidRPr="002D422A">
        <w:rPr>
          <w:rFonts w:ascii="Calibri" w:hAnsi="Calibri" w:cs="Calibri"/>
          <w:b/>
          <w:bCs/>
        </w:rPr>
        <w:t>4. Bar Charts Depicting Discharge Rates Relative to Staffed Bed Capacity</w:t>
      </w:r>
    </w:p>
    <w:p w14:paraId="2FA92278" w14:textId="77777777" w:rsidR="002D422A" w:rsidRPr="002D422A" w:rsidRDefault="002D422A" w:rsidP="002D422A">
      <w:pPr>
        <w:numPr>
          <w:ilvl w:val="0"/>
          <w:numId w:val="25"/>
        </w:numPr>
        <w:spacing w:after="0"/>
        <w:rPr>
          <w:rFonts w:ascii="Calibri" w:hAnsi="Calibri" w:cs="Calibri"/>
        </w:rPr>
      </w:pPr>
      <w:r w:rsidRPr="002D422A">
        <w:rPr>
          <w:rFonts w:ascii="Calibri" w:hAnsi="Calibri" w:cs="Calibri"/>
        </w:rPr>
        <w:t>Bar charts illustrated the relationship between the number of staffed acute care beds and patient discharge rates.</w:t>
      </w:r>
    </w:p>
    <w:p w14:paraId="069C1A3B" w14:textId="77777777" w:rsidR="002D422A" w:rsidRPr="002D422A" w:rsidRDefault="002D422A" w:rsidP="002D422A">
      <w:pPr>
        <w:numPr>
          <w:ilvl w:val="0"/>
          <w:numId w:val="25"/>
        </w:numPr>
        <w:spacing w:after="0"/>
        <w:rPr>
          <w:rFonts w:ascii="Calibri" w:hAnsi="Calibri" w:cs="Calibri"/>
        </w:rPr>
      </w:pPr>
      <w:r w:rsidRPr="002D422A">
        <w:rPr>
          <w:rFonts w:ascii="Calibri" w:hAnsi="Calibri" w:cs="Calibri"/>
        </w:rPr>
        <w:t>Facilities with more beds and adequate staffing showed higher discharge rates, highlighting the importance of healthcare capacity during surges.</w:t>
      </w:r>
    </w:p>
    <w:p w14:paraId="2DA70B99" w14:textId="77777777" w:rsidR="002D422A" w:rsidRPr="002D422A" w:rsidRDefault="002D422A" w:rsidP="002D422A">
      <w:pPr>
        <w:numPr>
          <w:ilvl w:val="0"/>
          <w:numId w:val="25"/>
        </w:numPr>
        <w:spacing w:after="0"/>
        <w:rPr>
          <w:rFonts w:ascii="Calibri" w:hAnsi="Calibri" w:cs="Calibri"/>
        </w:rPr>
      </w:pPr>
      <w:r w:rsidRPr="002D422A">
        <w:rPr>
          <w:rFonts w:ascii="Calibri" w:hAnsi="Calibri" w:cs="Calibri"/>
        </w:rPr>
        <w:t>These charts underscored the need for resource allocation strategies to ensure efficient patient care.</w:t>
      </w:r>
    </w:p>
    <w:p w14:paraId="2CFC7C46" w14:textId="77777777" w:rsidR="002D422A" w:rsidRPr="002D422A" w:rsidRDefault="002D422A" w:rsidP="002D422A">
      <w:pPr>
        <w:spacing w:after="0"/>
        <w:rPr>
          <w:rFonts w:ascii="Calibri" w:hAnsi="Calibri" w:cs="Calibri"/>
        </w:rPr>
      </w:pPr>
    </w:p>
    <w:p w14:paraId="6167F36C" w14:textId="77777777" w:rsidR="00FD10DB" w:rsidRDefault="00FD10DB" w:rsidP="00FD10DB">
      <w:pPr>
        <w:rPr>
          <w:b/>
          <w:bCs/>
        </w:rPr>
      </w:pPr>
    </w:p>
    <w:p w14:paraId="4AB1922B" w14:textId="77777777" w:rsidR="00FD10DB" w:rsidRDefault="00FD10DB" w:rsidP="00FD10DB">
      <w:pPr>
        <w:rPr>
          <w:b/>
          <w:bCs/>
        </w:rPr>
      </w:pPr>
    </w:p>
    <w:p w14:paraId="7A83E105" w14:textId="77777777" w:rsidR="00FD10DB" w:rsidRDefault="00FD10DB" w:rsidP="00FD10DB">
      <w:pPr>
        <w:rPr>
          <w:b/>
          <w:bCs/>
        </w:rPr>
      </w:pPr>
    </w:p>
    <w:p w14:paraId="64AB57CA" w14:textId="77777777" w:rsidR="00FD10DB" w:rsidRDefault="00FD10DB" w:rsidP="00FD10DB">
      <w:pPr>
        <w:rPr>
          <w:b/>
          <w:bCs/>
        </w:rPr>
      </w:pPr>
    </w:p>
    <w:p w14:paraId="159BD07A" w14:textId="77777777" w:rsidR="00AC7AD6" w:rsidRDefault="00AC7AD6">
      <w:pPr>
        <w:rPr>
          <w:b/>
          <w:bCs/>
        </w:rPr>
      </w:pPr>
    </w:p>
    <w:p w14:paraId="0C9BF7A9" w14:textId="77777777" w:rsidR="002D422A" w:rsidRPr="002D422A" w:rsidRDefault="002D422A" w:rsidP="002D422A">
      <w:pPr>
        <w:jc w:val="center"/>
        <w:rPr>
          <w:rFonts w:ascii="Calibri" w:hAnsi="Calibri" w:cs="Calibri"/>
          <w:b/>
          <w:bCs/>
          <w:sz w:val="28"/>
          <w:szCs w:val="28"/>
        </w:rPr>
      </w:pPr>
      <w:r w:rsidRPr="002D422A">
        <w:rPr>
          <w:rFonts w:ascii="Calibri" w:hAnsi="Calibri" w:cs="Calibri"/>
          <w:b/>
          <w:bCs/>
          <w:sz w:val="28"/>
          <w:szCs w:val="28"/>
        </w:rPr>
        <w:lastRenderedPageBreak/>
        <w:t>Conclusion</w:t>
      </w:r>
    </w:p>
    <w:p w14:paraId="1DD0D764" w14:textId="77777777" w:rsidR="002D422A" w:rsidRPr="002D422A" w:rsidRDefault="002D422A" w:rsidP="002D422A">
      <w:pPr>
        <w:jc w:val="center"/>
        <w:rPr>
          <w:rFonts w:ascii="Calibri" w:hAnsi="Calibri" w:cs="Calibri"/>
          <w:b/>
          <w:bCs/>
          <w:sz w:val="28"/>
          <w:szCs w:val="28"/>
        </w:rPr>
      </w:pPr>
    </w:p>
    <w:p w14:paraId="5678D833" w14:textId="77777777" w:rsidR="002D422A" w:rsidRPr="002D422A" w:rsidRDefault="002D422A" w:rsidP="002D422A">
      <w:pPr>
        <w:rPr>
          <w:rFonts w:ascii="Calibri" w:hAnsi="Calibri" w:cs="Calibri"/>
        </w:rPr>
      </w:pPr>
      <w:r w:rsidRPr="002D422A">
        <w:rPr>
          <w:rFonts w:ascii="Calibri" w:hAnsi="Calibri" w:cs="Calibri"/>
        </w:rPr>
        <w:t>This project provides a comprehensive analysis of COVID-19's impact on New York State, focusing on hospitalization, fatalities, and vaccination data. The findings highlight several critical insights that can guide future public health strategies and healthcare planning.</w:t>
      </w:r>
    </w:p>
    <w:p w14:paraId="750AF324" w14:textId="77777777" w:rsidR="002D422A" w:rsidRPr="002D422A" w:rsidRDefault="002D422A" w:rsidP="002D422A">
      <w:pPr>
        <w:rPr>
          <w:rFonts w:ascii="Calibri" w:hAnsi="Calibri" w:cs="Calibri"/>
          <w:b/>
          <w:bCs/>
        </w:rPr>
      </w:pPr>
      <w:r w:rsidRPr="002D422A">
        <w:rPr>
          <w:rFonts w:ascii="Calibri" w:hAnsi="Calibri" w:cs="Calibri"/>
          <w:b/>
          <w:bCs/>
        </w:rPr>
        <w:t>Key Takeaways</w:t>
      </w:r>
    </w:p>
    <w:p w14:paraId="401EAB62" w14:textId="77777777" w:rsidR="002D422A" w:rsidRPr="002D422A" w:rsidRDefault="002D422A" w:rsidP="002D422A">
      <w:pPr>
        <w:numPr>
          <w:ilvl w:val="0"/>
          <w:numId w:val="26"/>
        </w:numPr>
        <w:rPr>
          <w:rFonts w:ascii="Calibri" w:hAnsi="Calibri" w:cs="Calibri"/>
        </w:rPr>
      </w:pPr>
      <w:r w:rsidRPr="002D422A">
        <w:rPr>
          <w:rFonts w:ascii="Calibri" w:hAnsi="Calibri" w:cs="Calibri"/>
          <w:b/>
          <w:bCs/>
        </w:rPr>
        <w:t>Age-Based Risk</w:t>
      </w:r>
      <w:r w:rsidRPr="002D422A">
        <w:rPr>
          <w:rFonts w:ascii="Calibri" w:hAnsi="Calibri" w:cs="Calibri"/>
        </w:rPr>
        <w:t>:</w:t>
      </w:r>
    </w:p>
    <w:p w14:paraId="73A19974" w14:textId="77777777" w:rsidR="002D422A" w:rsidRPr="002D422A" w:rsidRDefault="002D422A" w:rsidP="002D422A">
      <w:pPr>
        <w:numPr>
          <w:ilvl w:val="1"/>
          <w:numId w:val="26"/>
        </w:numPr>
        <w:rPr>
          <w:rFonts w:ascii="Calibri" w:hAnsi="Calibri" w:cs="Calibri"/>
        </w:rPr>
      </w:pPr>
      <w:r w:rsidRPr="002D422A">
        <w:rPr>
          <w:rFonts w:ascii="Calibri" w:hAnsi="Calibri" w:cs="Calibri"/>
        </w:rPr>
        <w:t>Older adults, particularly those aged 65 and above, faced the highest risks of severe outcomes, including hospitalization and fatalities.</w:t>
      </w:r>
    </w:p>
    <w:p w14:paraId="1988E297" w14:textId="77777777" w:rsidR="002D422A" w:rsidRPr="002D422A" w:rsidRDefault="002D422A" w:rsidP="002D422A">
      <w:pPr>
        <w:numPr>
          <w:ilvl w:val="1"/>
          <w:numId w:val="26"/>
        </w:numPr>
        <w:rPr>
          <w:rFonts w:ascii="Calibri" w:hAnsi="Calibri" w:cs="Calibri"/>
        </w:rPr>
      </w:pPr>
      <w:r w:rsidRPr="002D422A">
        <w:rPr>
          <w:rFonts w:ascii="Calibri" w:hAnsi="Calibri" w:cs="Calibri"/>
        </w:rPr>
        <w:t>These findings emphasize the importance of prioritizing vulnerable populations during health crises, ensuring timely vaccination and access to healthcare resources.</w:t>
      </w:r>
    </w:p>
    <w:p w14:paraId="3369809D" w14:textId="77777777" w:rsidR="002D422A" w:rsidRPr="002D422A" w:rsidRDefault="002D422A" w:rsidP="002D422A">
      <w:pPr>
        <w:numPr>
          <w:ilvl w:val="0"/>
          <w:numId w:val="26"/>
        </w:numPr>
        <w:rPr>
          <w:rFonts w:ascii="Calibri" w:hAnsi="Calibri" w:cs="Calibri"/>
        </w:rPr>
      </w:pPr>
      <w:r w:rsidRPr="002D422A">
        <w:rPr>
          <w:rFonts w:ascii="Calibri" w:hAnsi="Calibri" w:cs="Calibri"/>
          <w:b/>
          <w:bCs/>
        </w:rPr>
        <w:t>Vaccination Efficacy</w:t>
      </w:r>
      <w:r w:rsidRPr="002D422A">
        <w:rPr>
          <w:rFonts w:ascii="Calibri" w:hAnsi="Calibri" w:cs="Calibri"/>
        </w:rPr>
        <w:t>:</w:t>
      </w:r>
    </w:p>
    <w:p w14:paraId="7177E4FE" w14:textId="77777777" w:rsidR="002D422A" w:rsidRPr="002D422A" w:rsidRDefault="002D422A" w:rsidP="002D422A">
      <w:pPr>
        <w:numPr>
          <w:ilvl w:val="1"/>
          <w:numId w:val="26"/>
        </w:numPr>
        <w:rPr>
          <w:rFonts w:ascii="Calibri" w:hAnsi="Calibri" w:cs="Calibri"/>
        </w:rPr>
      </w:pPr>
      <w:r w:rsidRPr="002D422A">
        <w:rPr>
          <w:rFonts w:ascii="Calibri" w:hAnsi="Calibri" w:cs="Calibri"/>
        </w:rPr>
        <w:t>Vaccination campaigns played a crucial role in reducing ICU occupancy, demonstrating their effectiveness in preventing severe cases.</w:t>
      </w:r>
    </w:p>
    <w:p w14:paraId="1F98DBF0" w14:textId="77777777" w:rsidR="002D422A" w:rsidRPr="002D422A" w:rsidRDefault="002D422A" w:rsidP="002D422A">
      <w:pPr>
        <w:numPr>
          <w:ilvl w:val="1"/>
          <w:numId w:val="26"/>
        </w:numPr>
        <w:rPr>
          <w:rFonts w:ascii="Calibri" w:hAnsi="Calibri" w:cs="Calibri"/>
        </w:rPr>
      </w:pPr>
      <w:r w:rsidRPr="002D422A">
        <w:rPr>
          <w:rFonts w:ascii="Calibri" w:hAnsi="Calibri" w:cs="Calibri"/>
        </w:rPr>
        <w:t>However, their influence on overall hospitalization trends was less pronounced, suggesting that factors such as pre-existing conditions and virus variants also play significant roles.</w:t>
      </w:r>
    </w:p>
    <w:p w14:paraId="463A3CCF" w14:textId="77777777" w:rsidR="002D422A" w:rsidRPr="002D422A" w:rsidRDefault="002D422A" w:rsidP="002D422A">
      <w:pPr>
        <w:numPr>
          <w:ilvl w:val="0"/>
          <w:numId w:val="26"/>
        </w:numPr>
        <w:rPr>
          <w:rFonts w:ascii="Calibri" w:hAnsi="Calibri" w:cs="Calibri"/>
        </w:rPr>
      </w:pPr>
      <w:r w:rsidRPr="002D422A">
        <w:rPr>
          <w:rFonts w:ascii="Calibri" w:hAnsi="Calibri" w:cs="Calibri"/>
          <w:b/>
          <w:bCs/>
        </w:rPr>
        <w:t>Healthcare Infrastructure</w:t>
      </w:r>
      <w:r w:rsidRPr="002D422A">
        <w:rPr>
          <w:rFonts w:ascii="Calibri" w:hAnsi="Calibri" w:cs="Calibri"/>
        </w:rPr>
        <w:t>:</w:t>
      </w:r>
    </w:p>
    <w:p w14:paraId="433BBB00" w14:textId="77777777" w:rsidR="002D422A" w:rsidRPr="002D422A" w:rsidRDefault="002D422A" w:rsidP="002D422A">
      <w:pPr>
        <w:numPr>
          <w:ilvl w:val="1"/>
          <w:numId w:val="26"/>
        </w:numPr>
        <w:rPr>
          <w:rFonts w:ascii="Calibri" w:hAnsi="Calibri" w:cs="Calibri"/>
        </w:rPr>
      </w:pPr>
      <w:r w:rsidRPr="002D422A">
        <w:rPr>
          <w:rFonts w:ascii="Calibri" w:hAnsi="Calibri" w:cs="Calibri"/>
        </w:rPr>
        <w:t>The availability of staffed acute care and ICU beds emerged as a decisive factor in patient outcomes.</w:t>
      </w:r>
    </w:p>
    <w:p w14:paraId="6581B4C2" w14:textId="77777777" w:rsidR="002D422A" w:rsidRPr="002D422A" w:rsidRDefault="002D422A" w:rsidP="002D422A">
      <w:pPr>
        <w:numPr>
          <w:ilvl w:val="1"/>
          <w:numId w:val="26"/>
        </w:numPr>
        <w:rPr>
          <w:rFonts w:ascii="Calibri" w:hAnsi="Calibri" w:cs="Calibri"/>
        </w:rPr>
      </w:pPr>
      <w:r w:rsidRPr="002D422A">
        <w:rPr>
          <w:rFonts w:ascii="Calibri" w:hAnsi="Calibri" w:cs="Calibri"/>
        </w:rPr>
        <w:t>Facilities with better resources were able to manage patient volumes effectively, achieving higher discharge rates and better overall care delivery.</w:t>
      </w:r>
    </w:p>
    <w:p w14:paraId="3C005470" w14:textId="77777777" w:rsidR="002D422A" w:rsidRPr="002D422A" w:rsidRDefault="002D422A" w:rsidP="002D422A">
      <w:pPr>
        <w:rPr>
          <w:rFonts w:ascii="Calibri" w:hAnsi="Calibri" w:cs="Calibri"/>
          <w:b/>
          <w:bCs/>
        </w:rPr>
      </w:pPr>
      <w:r w:rsidRPr="002D422A">
        <w:rPr>
          <w:rFonts w:ascii="Calibri" w:hAnsi="Calibri" w:cs="Calibri"/>
          <w:b/>
          <w:bCs/>
        </w:rPr>
        <w:t>Broader Implications</w:t>
      </w:r>
    </w:p>
    <w:p w14:paraId="73B41DFB" w14:textId="77777777" w:rsidR="002D422A" w:rsidRPr="002D422A" w:rsidRDefault="002D422A" w:rsidP="002D422A">
      <w:pPr>
        <w:rPr>
          <w:rFonts w:ascii="Calibri" w:hAnsi="Calibri" w:cs="Calibri"/>
        </w:rPr>
      </w:pPr>
      <w:r w:rsidRPr="002D422A">
        <w:rPr>
          <w:rFonts w:ascii="Calibri" w:hAnsi="Calibri" w:cs="Calibri"/>
        </w:rPr>
        <w:t xml:space="preserve">The analysis underscores the need for </w:t>
      </w:r>
      <w:r w:rsidRPr="002D422A">
        <w:rPr>
          <w:rFonts w:ascii="Calibri" w:hAnsi="Calibri" w:cs="Calibri"/>
          <w:b/>
          <w:bCs/>
        </w:rPr>
        <w:t>proactive and balanced healthcare policies</w:t>
      </w:r>
      <w:r w:rsidRPr="002D422A">
        <w:rPr>
          <w:rFonts w:ascii="Calibri" w:hAnsi="Calibri" w:cs="Calibri"/>
        </w:rPr>
        <w:t xml:space="preserve"> that address multiple aspects of pandemic management:</w:t>
      </w:r>
    </w:p>
    <w:p w14:paraId="5FEF2975" w14:textId="77777777" w:rsidR="002D422A" w:rsidRPr="002D422A" w:rsidRDefault="002D422A" w:rsidP="002D422A">
      <w:pPr>
        <w:numPr>
          <w:ilvl w:val="0"/>
          <w:numId w:val="27"/>
        </w:numPr>
        <w:rPr>
          <w:rFonts w:ascii="Calibri" w:hAnsi="Calibri" w:cs="Calibri"/>
        </w:rPr>
      </w:pPr>
      <w:r w:rsidRPr="002D422A">
        <w:rPr>
          <w:rFonts w:ascii="Calibri" w:hAnsi="Calibri" w:cs="Calibri"/>
          <w:b/>
          <w:bCs/>
        </w:rPr>
        <w:t>Preventative Measures</w:t>
      </w:r>
      <w:r w:rsidRPr="002D422A">
        <w:rPr>
          <w:rFonts w:ascii="Calibri" w:hAnsi="Calibri" w:cs="Calibri"/>
        </w:rPr>
        <w:t>: Early interventions, such as vaccination campaigns and public health education, are critical for mitigating severe outcomes.</w:t>
      </w:r>
    </w:p>
    <w:p w14:paraId="75165055" w14:textId="77777777" w:rsidR="002D422A" w:rsidRPr="002D422A" w:rsidRDefault="002D422A" w:rsidP="002D422A">
      <w:pPr>
        <w:numPr>
          <w:ilvl w:val="0"/>
          <w:numId w:val="27"/>
        </w:numPr>
        <w:rPr>
          <w:rFonts w:ascii="Calibri" w:hAnsi="Calibri" w:cs="Calibri"/>
        </w:rPr>
      </w:pPr>
      <w:r w:rsidRPr="002D422A">
        <w:rPr>
          <w:rFonts w:ascii="Calibri" w:hAnsi="Calibri" w:cs="Calibri"/>
          <w:b/>
          <w:bCs/>
        </w:rPr>
        <w:t>Resource Readiness</w:t>
      </w:r>
      <w:r w:rsidRPr="002D422A">
        <w:rPr>
          <w:rFonts w:ascii="Calibri" w:hAnsi="Calibri" w:cs="Calibri"/>
        </w:rPr>
        <w:t>: Investments in healthcare infrastructure, including surge capacity planning and staffing, are essential to handle sudden increases in demand.</w:t>
      </w:r>
    </w:p>
    <w:p w14:paraId="7414BD1E" w14:textId="77777777" w:rsidR="002D422A" w:rsidRDefault="002D422A" w:rsidP="002D422A">
      <w:pPr>
        <w:numPr>
          <w:ilvl w:val="0"/>
          <w:numId w:val="27"/>
        </w:numPr>
        <w:rPr>
          <w:rFonts w:ascii="Calibri" w:hAnsi="Calibri" w:cs="Calibri"/>
        </w:rPr>
      </w:pPr>
      <w:r w:rsidRPr="002D422A">
        <w:rPr>
          <w:rFonts w:ascii="Calibri" w:hAnsi="Calibri" w:cs="Calibri"/>
          <w:b/>
          <w:bCs/>
        </w:rPr>
        <w:t>Equitable Access</w:t>
      </w:r>
      <w:r w:rsidRPr="002D422A">
        <w:rPr>
          <w:rFonts w:ascii="Calibri" w:hAnsi="Calibri" w:cs="Calibri"/>
        </w:rPr>
        <w:t>: Ensuring that all populations, particularly those in underserved areas, have access to vaccinations, testing, and treatment is key to reducing disparities in outcomes.</w:t>
      </w:r>
    </w:p>
    <w:p w14:paraId="38356B6E" w14:textId="77777777" w:rsidR="002D422A" w:rsidRDefault="002D422A" w:rsidP="002D422A">
      <w:pPr>
        <w:rPr>
          <w:rFonts w:ascii="Calibri" w:hAnsi="Calibri" w:cs="Calibri"/>
        </w:rPr>
      </w:pPr>
    </w:p>
    <w:p w14:paraId="33AF8D2F" w14:textId="77777777" w:rsidR="002D422A" w:rsidRDefault="002D422A" w:rsidP="002D422A">
      <w:pPr>
        <w:rPr>
          <w:rFonts w:ascii="Calibri" w:hAnsi="Calibri" w:cs="Calibri"/>
        </w:rPr>
      </w:pPr>
    </w:p>
    <w:p w14:paraId="2EEB881A" w14:textId="6B07204D" w:rsidR="002D422A" w:rsidRDefault="002D422A" w:rsidP="00787D05">
      <w:pPr>
        <w:jc w:val="center"/>
        <w:rPr>
          <w:rFonts w:ascii="Calibri" w:hAnsi="Calibri" w:cs="Calibri"/>
          <w:b/>
          <w:bCs/>
          <w:sz w:val="28"/>
          <w:szCs w:val="28"/>
        </w:rPr>
      </w:pPr>
      <w:r w:rsidRPr="002D422A">
        <w:rPr>
          <w:rFonts w:ascii="Calibri" w:hAnsi="Calibri" w:cs="Calibri"/>
          <w:b/>
          <w:bCs/>
          <w:sz w:val="28"/>
          <w:szCs w:val="28"/>
        </w:rPr>
        <w:lastRenderedPageBreak/>
        <w:t>References</w:t>
      </w:r>
    </w:p>
    <w:p w14:paraId="1B731482" w14:textId="77777777" w:rsidR="002D422A" w:rsidRPr="002D422A" w:rsidRDefault="002D422A" w:rsidP="002D422A">
      <w:pPr>
        <w:rPr>
          <w:rFonts w:ascii="Calibri" w:hAnsi="Calibri" w:cs="Calibri"/>
        </w:rPr>
      </w:pPr>
    </w:p>
    <w:p w14:paraId="5DB5A877" w14:textId="77777777" w:rsidR="00E26ACF" w:rsidRDefault="00E26ACF">
      <w:pPr>
        <w:rPr>
          <w:rFonts w:ascii="Calibri" w:hAnsi="Calibri" w:cs="Calibri"/>
        </w:rPr>
      </w:pPr>
      <w:r w:rsidRPr="00E26ACF">
        <w:rPr>
          <w:rFonts w:ascii="Calibri" w:hAnsi="Calibri" w:cs="Calibri"/>
          <w:b/>
          <w:bCs/>
        </w:rPr>
        <w:t>Data Sources:</w:t>
      </w:r>
      <w:r w:rsidRPr="00E26ACF">
        <w:rPr>
          <w:rFonts w:ascii="Calibri" w:hAnsi="Calibri" w:cs="Calibri"/>
        </w:rPr>
        <w:br/>
      </w:r>
    </w:p>
    <w:p w14:paraId="3AEFA383" w14:textId="77777777" w:rsidR="00E26ACF" w:rsidRPr="00E26ACF" w:rsidRDefault="00E26ACF" w:rsidP="00E26ACF">
      <w:pPr>
        <w:pStyle w:val="ListParagraph"/>
        <w:numPr>
          <w:ilvl w:val="0"/>
          <w:numId w:val="28"/>
        </w:numPr>
        <w:rPr>
          <w:rFonts w:ascii="Calibri" w:hAnsi="Calibri" w:cs="Calibri"/>
        </w:rPr>
      </w:pPr>
      <w:r w:rsidRPr="00E26ACF">
        <w:rPr>
          <w:rFonts w:ascii="Calibri" w:hAnsi="Calibri" w:cs="Calibri"/>
        </w:rPr>
        <w:t>New York State Statewide COVID-19 Hospitalizations and Beds | State of New York </w:t>
      </w:r>
    </w:p>
    <w:p w14:paraId="1660A2D9" w14:textId="1BADAA0C" w:rsidR="00E26ACF" w:rsidRPr="00E26ACF" w:rsidRDefault="00E26ACF" w:rsidP="00E26ACF">
      <w:pPr>
        <w:pStyle w:val="ListParagraph"/>
        <w:rPr>
          <w:rFonts w:ascii="Calibri" w:hAnsi="Calibri" w:cs="Calibri"/>
        </w:rPr>
      </w:pPr>
      <w:hyperlink r:id="rId10" w:history="1">
        <w:r w:rsidRPr="00E26ACF">
          <w:rPr>
            <w:rStyle w:val="Hyperlink"/>
            <w:rFonts w:ascii="Calibri" w:hAnsi="Calibri" w:cs="Calibri"/>
          </w:rPr>
          <w:t>https://health.data.ny.gov/Health/New-York-State-Statewide-COVID-19-Hospitalizations/jw46-jpb7/data_preview</w:t>
        </w:r>
      </w:hyperlink>
      <w:r w:rsidRPr="00E26ACF">
        <w:rPr>
          <w:rFonts w:ascii="Calibri" w:hAnsi="Calibri" w:cs="Calibri"/>
        </w:rPr>
        <w:t> </w:t>
      </w:r>
    </w:p>
    <w:p w14:paraId="14541289" w14:textId="77777777" w:rsidR="00E26ACF" w:rsidRPr="00E26ACF" w:rsidRDefault="00E26ACF" w:rsidP="00E26ACF">
      <w:pPr>
        <w:pStyle w:val="ListParagraph"/>
        <w:rPr>
          <w:rFonts w:ascii="Calibri" w:hAnsi="Calibri" w:cs="Calibri"/>
        </w:rPr>
      </w:pPr>
      <w:r w:rsidRPr="00E26ACF">
        <w:rPr>
          <w:rFonts w:ascii="Calibri" w:hAnsi="Calibri" w:cs="Calibri"/>
        </w:rPr>
        <w:t> </w:t>
      </w:r>
    </w:p>
    <w:p w14:paraId="7857D1FB" w14:textId="77777777" w:rsidR="00E26ACF" w:rsidRPr="00E26ACF" w:rsidRDefault="00E26ACF" w:rsidP="00E26ACF">
      <w:pPr>
        <w:pStyle w:val="ListParagraph"/>
        <w:numPr>
          <w:ilvl w:val="0"/>
          <w:numId w:val="28"/>
        </w:numPr>
        <w:rPr>
          <w:rFonts w:ascii="Calibri" w:hAnsi="Calibri" w:cs="Calibri"/>
        </w:rPr>
      </w:pPr>
      <w:r w:rsidRPr="00E26ACF">
        <w:rPr>
          <w:rFonts w:ascii="Calibri" w:hAnsi="Calibri" w:cs="Calibri"/>
        </w:rPr>
        <w:t>New York State Statewide COVID-19 Testing (Archived) | State of New York </w:t>
      </w:r>
    </w:p>
    <w:p w14:paraId="5C1F7D92" w14:textId="447102A5" w:rsidR="00E26ACF" w:rsidRPr="00E26ACF" w:rsidRDefault="00E26ACF" w:rsidP="00E26ACF">
      <w:pPr>
        <w:pStyle w:val="ListParagraph"/>
        <w:rPr>
          <w:rFonts w:ascii="Calibri" w:hAnsi="Calibri" w:cs="Calibri"/>
        </w:rPr>
      </w:pPr>
      <w:hyperlink r:id="rId11" w:history="1">
        <w:r w:rsidRPr="00E26ACF">
          <w:rPr>
            <w:rStyle w:val="Hyperlink"/>
            <w:rFonts w:ascii="Calibri" w:hAnsi="Calibri" w:cs="Calibri"/>
          </w:rPr>
          <w:t>https://health.data.ny.gov/Health/New-York-State-Statewide-COVID-19-Testing-Archived/xdss-u53e/data_preview</w:t>
        </w:r>
      </w:hyperlink>
      <w:r w:rsidRPr="00E26ACF">
        <w:rPr>
          <w:rFonts w:ascii="Calibri" w:hAnsi="Calibri" w:cs="Calibri"/>
        </w:rPr>
        <w:t> </w:t>
      </w:r>
    </w:p>
    <w:p w14:paraId="3F213FC0" w14:textId="3E7F4C82" w:rsidR="00E26ACF" w:rsidRPr="00E26ACF" w:rsidRDefault="00E26ACF" w:rsidP="00E26ACF">
      <w:pPr>
        <w:pStyle w:val="ListParagraph"/>
        <w:rPr>
          <w:rFonts w:ascii="Calibri" w:hAnsi="Calibri" w:cs="Calibri"/>
        </w:rPr>
      </w:pPr>
    </w:p>
    <w:p w14:paraId="7997904C" w14:textId="77777777" w:rsidR="00E26ACF" w:rsidRPr="00E26ACF" w:rsidRDefault="00E26ACF" w:rsidP="00E26ACF">
      <w:pPr>
        <w:pStyle w:val="ListParagraph"/>
        <w:numPr>
          <w:ilvl w:val="0"/>
          <w:numId w:val="28"/>
        </w:numPr>
        <w:rPr>
          <w:rFonts w:ascii="Calibri" w:hAnsi="Calibri" w:cs="Calibri"/>
        </w:rPr>
      </w:pPr>
      <w:r w:rsidRPr="00E26ACF">
        <w:rPr>
          <w:rFonts w:ascii="Calibri" w:hAnsi="Calibri" w:cs="Calibri"/>
        </w:rPr>
        <w:t>New York State Statewide COVID-19 Vaccination Data by County (Archived, Initial) | State of New York </w:t>
      </w:r>
    </w:p>
    <w:p w14:paraId="4687B4DC" w14:textId="3285454E" w:rsidR="00E26ACF" w:rsidRPr="00E26ACF" w:rsidRDefault="00E26ACF" w:rsidP="00E26ACF">
      <w:pPr>
        <w:pStyle w:val="ListParagraph"/>
        <w:rPr>
          <w:rFonts w:ascii="Calibri" w:hAnsi="Calibri" w:cs="Calibri"/>
        </w:rPr>
      </w:pPr>
      <w:hyperlink r:id="rId12" w:history="1">
        <w:r w:rsidRPr="00E26ACF">
          <w:rPr>
            <w:rStyle w:val="Hyperlink"/>
            <w:rFonts w:ascii="Calibri" w:hAnsi="Calibri" w:cs="Calibri"/>
          </w:rPr>
          <w:t>https://health.data.ny.gov/Health/New-York-State-Statewide-COVID-19-Vaccination-Data/duk7-xrni/data_preview</w:t>
        </w:r>
      </w:hyperlink>
      <w:r w:rsidRPr="00E26ACF">
        <w:rPr>
          <w:rFonts w:ascii="Calibri" w:hAnsi="Calibri" w:cs="Calibri"/>
        </w:rPr>
        <w:t> </w:t>
      </w:r>
    </w:p>
    <w:p w14:paraId="34087A16" w14:textId="77777777" w:rsidR="00E26ACF" w:rsidRPr="00E26ACF" w:rsidRDefault="00E26ACF" w:rsidP="00E26ACF">
      <w:pPr>
        <w:rPr>
          <w:rFonts w:ascii="Calibri" w:hAnsi="Calibri" w:cs="Calibri"/>
        </w:rPr>
      </w:pPr>
    </w:p>
    <w:sectPr w:rsidR="00E26ACF" w:rsidRPr="00E26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1CD9"/>
    <w:multiLevelType w:val="multilevel"/>
    <w:tmpl w:val="D12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6C4E"/>
    <w:multiLevelType w:val="multilevel"/>
    <w:tmpl w:val="57A26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A4DED"/>
    <w:multiLevelType w:val="hybridMultilevel"/>
    <w:tmpl w:val="8A78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F16FE"/>
    <w:multiLevelType w:val="multilevel"/>
    <w:tmpl w:val="9906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26A9D"/>
    <w:multiLevelType w:val="multilevel"/>
    <w:tmpl w:val="BE16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F40A2"/>
    <w:multiLevelType w:val="multilevel"/>
    <w:tmpl w:val="80FC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F7450"/>
    <w:multiLevelType w:val="multilevel"/>
    <w:tmpl w:val="FBF6A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14026"/>
    <w:multiLevelType w:val="multilevel"/>
    <w:tmpl w:val="55FE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31370"/>
    <w:multiLevelType w:val="multilevel"/>
    <w:tmpl w:val="B1C2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4301B"/>
    <w:multiLevelType w:val="multilevel"/>
    <w:tmpl w:val="7756A5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C3DDB"/>
    <w:multiLevelType w:val="multilevel"/>
    <w:tmpl w:val="7024B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E18"/>
    <w:multiLevelType w:val="hybridMultilevel"/>
    <w:tmpl w:val="9C168DC8"/>
    <w:lvl w:ilvl="0" w:tplc="C254C030">
      <w:start w:val="1"/>
      <w:numFmt w:val="bullet"/>
      <w:lvlText w:val="•"/>
      <w:lvlJc w:val="left"/>
      <w:pPr>
        <w:tabs>
          <w:tab w:val="num" w:pos="720"/>
        </w:tabs>
        <w:ind w:left="720" w:hanging="360"/>
      </w:pPr>
      <w:rPr>
        <w:rFonts w:ascii="Arial" w:hAnsi="Arial" w:hint="default"/>
      </w:rPr>
    </w:lvl>
    <w:lvl w:ilvl="1" w:tplc="774409D8">
      <w:start w:val="1"/>
      <w:numFmt w:val="bullet"/>
      <w:lvlText w:val="•"/>
      <w:lvlJc w:val="left"/>
      <w:pPr>
        <w:tabs>
          <w:tab w:val="num" w:pos="1440"/>
        </w:tabs>
        <w:ind w:left="1440" w:hanging="360"/>
      </w:pPr>
      <w:rPr>
        <w:rFonts w:ascii="Arial" w:hAnsi="Arial" w:hint="default"/>
      </w:rPr>
    </w:lvl>
    <w:lvl w:ilvl="2" w:tplc="1BF27272" w:tentative="1">
      <w:start w:val="1"/>
      <w:numFmt w:val="bullet"/>
      <w:lvlText w:val="•"/>
      <w:lvlJc w:val="left"/>
      <w:pPr>
        <w:tabs>
          <w:tab w:val="num" w:pos="2160"/>
        </w:tabs>
        <w:ind w:left="2160" w:hanging="360"/>
      </w:pPr>
      <w:rPr>
        <w:rFonts w:ascii="Arial" w:hAnsi="Arial" w:hint="default"/>
      </w:rPr>
    </w:lvl>
    <w:lvl w:ilvl="3" w:tplc="EF041E8A" w:tentative="1">
      <w:start w:val="1"/>
      <w:numFmt w:val="bullet"/>
      <w:lvlText w:val="•"/>
      <w:lvlJc w:val="left"/>
      <w:pPr>
        <w:tabs>
          <w:tab w:val="num" w:pos="2880"/>
        </w:tabs>
        <w:ind w:left="2880" w:hanging="360"/>
      </w:pPr>
      <w:rPr>
        <w:rFonts w:ascii="Arial" w:hAnsi="Arial" w:hint="default"/>
      </w:rPr>
    </w:lvl>
    <w:lvl w:ilvl="4" w:tplc="E6DC293A" w:tentative="1">
      <w:start w:val="1"/>
      <w:numFmt w:val="bullet"/>
      <w:lvlText w:val="•"/>
      <w:lvlJc w:val="left"/>
      <w:pPr>
        <w:tabs>
          <w:tab w:val="num" w:pos="3600"/>
        </w:tabs>
        <w:ind w:left="3600" w:hanging="360"/>
      </w:pPr>
      <w:rPr>
        <w:rFonts w:ascii="Arial" w:hAnsi="Arial" w:hint="default"/>
      </w:rPr>
    </w:lvl>
    <w:lvl w:ilvl="5" w:tplc="FAEA9D64" w:tentative="1">
      <w:start w:val="1"/>
      <w:numFmt w:val="bullet"/>
      <w:lvlText w:val="•"/>
      <w:lvlJc w:val="left"/>
      <w:pPr>
        <w:tabs>
          <w:tab w:val="num" w:pos="4320"/>
        </w:tabs>
        <w:ind w:left="4320" w:hanging="360"/>
      </w:pPr>
      <w:rPr>
        <w:rFonts w:ascii="Arial" w:hAnsi="Arial" w:hint="default"/>
      </w:rPr>
    </w:lvl>
    <w:lvl w:ilvl="6" w:tplc="88B046BE" w:tentative="1">
      <w:start w:val="1"/>
      <w:numFmt w:val="bullet"/>
      <w:lvlText w:val="•"/>
      <w:lvlJc w:val="left"/>
      <w:pPr>
        <w:tabs>
          <w:tab w:val="num" w:pos="5040"/>
        </w:tabs>
        <w:ind w:left="5040" w:hanging="360"/>
      </w:pPr>
      <w:rPr>
        <w:rFonts w:ascii="Arial" w:hAnsi="Arial" w:hint="default"/>
      </w:rPr>
    </w:lvl>
    <w:lvl w:ilvl="7" w:tplc="72406DDA" w:tentative="1">
      <w:start w:val="1"/>
      <w:numFmt w:val="bullet"/>
      <w:lvlText w:val="•"/>
      <w:lvlJc w:val="left"/>
      <w:pPr>
        <w:tabs>
          <w:tab w:val="num" w:pos="5760"/>
        </w:tabs>
        <w:ind w:left="5760" w:hanging="360"/>
      </w:pPr>
      <w:rPr>
        <w:rFonts w:ascii="Arial" w:hAnsi="Arial" w:hint="default"/>
      </w:rPr>
    </w:lvl>
    <w:lvl w:ilvl="8" w:tplc="D5BABA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D531D"/>
    <w:multiLevelType w:val="multilevel"/>
    <w:tmpl w:val="966889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C39CA"/>
    <w:multiLevelType w:val="multilevel"/>
    <w:tmpl w:val="9434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B6878"/>
    <w:multiLevelType w:val="multilevel"/>
    <w:tmpl w:val="3E04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806D88"/>
    <w:multiLevelType w:val="multilevel"/>
    <w:tmpl w:val="9C86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A82288"/>
    <w:multiLevelType w:val="hybridMultilevel"/>
    <w:tmpl w:val="DAF2F4B4"/>
    <w:lvl w:ilvl="0" w:tplc="6644B05A">
      <w:start w:val="1"/>
      <w:numFmt w:val="bullet"/>
      <w:lvlText w:val="•"/>
      <w:lvlJc w:val="left"/>
      <w:pPr>
        <w:tabs>
          <w:tab w:val="num" w:pos="720"/>
        </w:tabs>
        <w:ind w:left="720" w:hanging="360"/>
      </w:pPr>
      <w:rPr>
        <w:rFonts w:ascii="Arial" w:hAnsi="Arial" w:hint="default"/>
      </w:rPr>
    </w:lvl>
    <w:lvl w:ilvl="1" w:tplc="EF7892C0">
      <w:start w:val="1"/>
      <w:numFmt w:val="bullet"/>
      <w:lvlText w:val="•"/>
      <w:lvlJc w:val="left"/>
      <w:pPr>
        <w:tabs>
          <w:tab w:val="num" w:pos="1440"/>
        </w:tabs>
        <w:ind w:left="1440" w:hanging="360"/>
      </w:pPr>
      <w:rPr>
        <w:rFonts w:ascii="Arial" w:hAnsi="Arial" w:hint="default"/>
      </w:rPr>
    </w:lvl>
    <w:lvl w:ilvl="2" w:tplc="35BCF11E" w:tentative="1">
      <w:start w:val="1"/>
      <w:numFmt w:val="bullet"/>
      <w:lvlText w:val="•"/>
      <w:lvlJc w:val="left"/>
      <w:pPr>
        <w:tabs>
          <w:tab w:val="num" w:pos="2160"/>
        </w:tabs>
        <w:ind w:left="2160" w:hanging="360"/>
      </w:pPr>
      <w:rPr>
        <w:rFonts w:ascii="Arial" w:hAnsi="Arial" w:hint="default"/>
      </w:rPr>
    </w:lvl>
    <w:lvl w:ilvl="3" w:tplc="8DE2A002" w:tentative="1">
      <w:start w:val="1"/>
      <w:numFmt w:val="bullet"/>
      <w:lvlText w:val="•"/>
      <w:lvlJc w:val="left"/>
      <w:pPr>
        <w:tabs>
          <w:tab w:val="num" w:pos="2880"/>
        </w:tabs>
        <w:ind w:left="2880" w:hanging="360"/>
      </w:pPr>
      <w:rPr>
        <w:rFonts w:ascii="Arial" w:hAnsi="Arial" w:hint="default"/>
      </w:rPr>
    </w:lvl>
    <w:lvl w:ilvl="4" w:tplc="D54A2CD2" w:tentative="1">
      <w:start w:val="1"/>
      <w:numFmt w:val="bullet"/>
      <w:lvlText w:val="•"/>
      <w:lvlJc w:val="left"/>
      <w:pPr>
        <w:tabs>
          <w:tab w:val="num" w:pos="3600"/>
        </w:tabs>
        <w:ind w:left="3600" w:hanging="360"/>
      </w:pPr>
      <w:rPr>
        <w:rFonts w:ascii="Arial" w:hAnsi="Arial" w:hint="default"/>
      </w:rPr>
    </w:lvl>
    <w:lvl w:ilvl="5" w:tplc="B8426672" w:tentative="1">
      <w:start w:val="1"/>
      <w:numFmt w:val="bullet"/>
      <w:lvlText w:val="•"/>
      <w:lvlJc w:val="left"/>
      <w:pPr>
        <w:tabs>
          <w:tab w:val="num" w:pos="4320"/>
        </w:tabs>
        <w:ind w:left="4320" w:hanging="360"/>
      </w:pPr>
      <w:rPr>
        <w:rFonts w:ascii="Arial" w:hAnsi="Arial" w:hint="default"/>
      </w:rPr>
    </w:lvl>
    <w:lvl w:ilvl="6" w:tplc="91643816" w:tentative="1">
      <w:start w:val="1"/>
      <w:numFmt w:val="bullet"/>
      <w:lvlText w:val="•"/>
      <w:lvlJc w:val="left"/>
      <w:pPr>
        <w:tabs>
          <w:tab w:val="num" w:pos="5040"/>
        </w:tabs>
        <w:ind w:left="5040" w:hanging="360"/>
      </w:pPr>
      <w:rPr>
        <w:rFonts w:ascii="Arial" w:hAnsi="Arial" w:hint="default"/>
      </w:rPr>
    </w:lvl>
    <w:lvl w:ilvl="7" w:tplc="FAB0DDC6" w:tentative="1">
      <w:start w:val="1"/>
      <w:numFmt w:val="bullet"/>
      <w:lvlText w:val="•"/>
      <w:lvlJc w:val="left"/>
      <w:pPr>
        <w:tabs>
          <w:tab w:val="num" w:pos="5760"/>
        </w:tabs>
        <w:ind w:left="5760" w:hanging="360"/>
      </w:pPr>
      <w:rPr>
        <w:rFonts w:ascii="Arial" w:hAnsi="Arial" w:hint="default"/>
      </w:rPr>
    </w:lvl>
    <w:lvl w:ilvl="8" w:tplc="76BC997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F310E3"/>
    <w:multiLevelType w:val="multilevel"/>
    <w:tmpl w:val="35904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F855AA"/>
    <w:multiLevelType w:val="hybridMultilevel"/>
    <w:tmpl w:val="213C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84BBB"/>
    <w:multiLevelType w:val="multilevel"/>
    <w:tmpl w:val="2126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3296F"/>
    <w:multiLevelType w:val="hybridMultilevel"/>
    <w:tmpl w:val="68D07018"/>
    <w:lvl w:ilvl="0" w:tplc="B53684F8">
      <w:start w:val="1"/>
      <w:numFmt w:val="bullet"/>
      <w:lvlText w:val="•"/>
      <w:lvlJc w:val="left"/>
      <w:pPr>
        <w:tabs>
          <w:tab w:val="num" w:pos="720"/>
        </w:tabs>
        <w:ind w:left="720" w:hanging="360"/>
      </w:pPr>
      <w:rPr>
        <w:rFonts w:ascii="Arial" w:hAnsi="Arial" w:hint="default"/>
      </w:rPr>
    </w:lvl>
    <w:lvl w:ilvl="1" w:tplc="B01E2208">
      <w:start w:val="1"/>
      <w:numFmt w:val="bullet"/>
      <w:lvlText w:val="•"/>
      <w:lvlJc w:val="left"/>
      <w:pPr>
        <w:tabs>
          <w:tab w:val="num" w:pos="1440"/>
        </w:tabs>
        <w:ind w:left="1440" w:hanging="360"/>
      </w:pPr>
      <w:rPr>
        <w:rFonts w:ascii="Arial" w:hAnsi="Arial" w:hint="default"/>
      </w:rPr>
    </w:lvl>
    <w:lvl w:ilvl="2" w:tplc="187EEB8C" w:tentative="1">
      <w:start w:val="1"/>
      <w:numFmt w:val="bullet"/>
      <w:lvlText w:val="•"/>
      <w:lvlJc w:val="left"/>
      <w:pPr>
        <w:tabs>
          <w:tab w:val="num" w:pos="2160"/>
        </w:tabs>
        <w:ind w:left="2160" w:hanging="360"/>
      </w:pPr>
      <w:rPr>
        <w:rFonts w:ascii="Arial" w:hAnsi="Arial" w:hint="default"/>
      </w:rPr>
    </w:lvl>
    <w:lvl w:ilvl="3" w:tplc="F1BC4A88" w:tentative="1">
      <w:start w:val="1"/>
      <w:numFmt w:val="bullet"/>
      <w:lvlText w:val="•"/>
      <w:lvlJc w:val="left"/>
      <w:pPr>
        <w:tabs>
          <w:tab w:val="num" w:pos="2880"/>
        </w:tabs>
        <w:ind w:left="2880" w:hanging="360"/>
      </w:pPr>
      <w:rPr>
        <w:rFonts w:ascii="Arial" w:hAnsi="Arial" w:hint="default"/>
      </w:rPr>
    </w:lvl>
    <w:lvl w:ilvl="4" w:tplc="A806640E" w:tentative="1">
      <w:start w:val="1"/>
      <w:numFmt w:val="bullet"/>
      <w:lvlText w:val="•"/>
      <w:lvlJc w:val="left"/>
      <w:pPr>
        <w:tabs>
          <w:tab w:val="num" w:pos="3600"/>
        </w:tabs>
        <w:ind w:left="3600" w:hanging="360"/>
      </w:pPr>
      <w:rPr>
        <w:rFonts w:ascii="Arial" w:hAnsi="Arial" w:hint="default"/>
      </w:rPr>
    </w:lvl>
    <w:lvl w:ilvl="5" w:tplc="F7BA4686" w:tentative="1">
      <w:start w:val="1"/>
      <w:numFmt w:val="bullet"/>
      <w:lvlText w:val="•"/>
      <w:lvlJc w:val="left"/>
      <w:pPr>
        <w:tabs>
          <w:tab w:val="num" w:pos="4320"/>
        </w:tabs>
        <w:ind w:left="4320" w:hanging="360"/>
      </w:pPr>
      <w:rPr>
        <w:rFonts w:ascii="Arial" w:hAnsi="Arial" w:hint="default"/>
      </w:rPr>
    </w:lvl>
    <w:lvl w:ilvl="6" w:tplc="16180650" w:tentative="1">
      <w:start w:val="1"/>
      <w:numFmt w:val="bullet"/>
      <w:lvlText w:val="•"/>
      <w:lvlJc w:val="left"/>
      <w:pPr>
        <w:tabs>
          <w:tab w:val="num" w:pos="5040"/>
        </w:tabs>
        <w:ind w:left="5040" w:hanging="360"/>
      </w:pPr>
      <w:rPr>
        <w:rFonts w:ascii="Arial" w:hAnsi="Arial" w:hint="default"/>
      </w:rPr>
    </w:lvl>
    <w:lvl w:ilvl="7" w:tplc="639487AA" w:tentative="1">
      <w:start w:val="1"/>
      <w:numFmt w:val="bullet"/>
      <w:lvlText w:val="•"/>
      <w:lvlJc w:val="left"/>
      <w:pPr>
        <w:tabs>
          <w:tab w:val="num" w:pos="5760"/>
        </w:tabs>
        <w:ind w:left="5760" w:hanging="360"/>
      </w:pPr>
      <w:rPr>
        <w:rFonts w:ascii="Arial" w:hAnsi="Arial" w:hint="default"/>
      </w:rPr>
    </w:lvl>
    <w:lvl w:ilvl="8" w:tplc="094E4E6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DA231A0"/>
    <w:multiLevelType w:val="multilevel"/>
    <w:tmpl w:val="F030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33835"/>
    <w:multiLevelType w:val="multilevel"/>
    <w:tmpl w:val="09D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8B3234"/>
    <w:multiLevelType w:val="multilevel"/>
    <w:tmpl w:val="5AE4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D2F70"/>
    <w:multiLevelType w:val="multilevel"/>
    <w:tmpl w:val="3E52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321B6"/>
    <w:multiLevelType w:val="hybridMultilevel"/>
    <w:tmpl w:val="B3D8F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09051A"/>
    <w:multiLevelType w:val="multilevel"/>
    <w:tmpl w:val="B3541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F931AD"/>
    <w:multiLevelType w:val="multilevel"/>
    <w:tmpl w:val="D6003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07499"/>
    <w:multiLevelType w:val="hybridMultilevel"/>
    <w:tmpl w:val="AF3E5290"/>
    <w:lvl w:ilvl="0" w:tplc="CD7E141A">
      <w:start w:val="1"/>
      <w:numFmt w:val="bullet"/>
      <w:lvlText w:val="•"/>
      <w:lvlJc w:val="left"/>
      <w:pPr>
        <w:tabs>
          <w:tab w:val="num" w:pos="720"/>
        </w:tabs>
        <w:ind w:left="720" w:hanging="360"/>
      </w:pPr>
      <w:rPr>
        <w:rFonts w:ascii="Arial" w:hAnsi="Arial" w:hint="default"/>
      </w:rPr>
    </w:lvl>
    <w:lvl w:ilvl="1" w:tplc="6C22B398">
      <w:start w:val="1"/>
      <w:numFmt w:val="bullet"/>
      <w:lvlText w:val="•"/>
      <w:lvlJc w:val="left"/>
      <w:pPr>
        <w:tabs>
          <w:tab w:val="num" w:pos="1440"/>
        </w:tabs>
        <w:ind w:left="1440" w:hanging="360"/>
      </w:pPr>
      <w:rPr>
        <w:rFonts w:ascii="Arial" w:hAnsi="Arial" w:hint="default"/>
      </w:rPr>
    </w:lvl>
    <w:lvl w:ilvl="2" w:tplc="762635FA" w:tentative="1">
      <w:start w:val="1"/>
      <w:numFmt w:val="bullet"/>
      <w:lvlText w:val="•"/>
      <w:lvlJc w:val="left"/>
      <w:pPr>
        <w:tabs>
          <w:tab w:val="num" w:pos="2160"/>
        </w:tabs>
        <w:ind w:left="2160" w:hanging="360"/>
      </w:pPr>
      <w:rPr>
        <w:rFonts w:ascii="Arial" w:hAnsi="Arial" w:hint="default"/>
      </w:rPr>
    </w:lvl>
    <w:lvl w:ilvl="3" w:tplc="11985CC4" w:tentative="1">
      <w:start w:val="1"/>
      <w:numFmt w:val="bullet"/>
      <w:lvlText w:val="•"/>
      <w:lvlJc w:val="left"/>
      <w:pPr>
        <w:tabs>
          <w:tab w:val="num" w:pos="2880"/>
        </w:tabs>
        <w:ind w:left="2880" w:hanging="360"/>
      </w:pPr>
      <w:rPr>
        <w:rFonts w:ascii="Arial" w:hAnsi="Arial" w:hint="default"/>
      </w:rPr>
    </w:lvl>
    <w:lvl w:ilvl="4" w:tplc="247897C8" w:tentative="1">
      <w:start w:val="1"/>
      <w:numFmt w:val="bullet"/>
      <w:lvlText w:val="•"/>
      <w:lvlJc w:val="left"/>
      <w:pPr>
        <w:tabs>
          <w:tab w:val="num" w:pos="3600"/>
        </w:tabs>
        <w:ind w:left="3600" w:hanging="360"/>
      </w:pPr>
      <w:rPr>
        <w:rFonts w:ascii="Arial" w:hAnsi="Arial" w:hint="default"/>
      </w:rPr>
    </w:lvl>
    <w:lvl w:ilvl="5" w:tplc="3E68A9C4" w:tentative="1">
      <w:start w:val="1"/>
      <w:numFmt w:val="bullet"/>
      <w:lvlText w:val="•"/>
      <w:lvlJc w:val="left"/>
      <w:pPr>
        <w:tabs>
          <w:tab w:val="num" w:pos="4320"/>
        </w:tabs>
        <w:ind w:left="4320" w:hanging="360"/>
      </w:pPr>
      <w:rPr>
        <w:rFonts w:ascii="Arial" w:hAnsi="Arial" w:hint="default"/>
      </w:rPr>
    </w:lvl>
    <w:lvl w:ilvl="6" w:tplc="6F8E0A86" w:tentative="1">
      <w:start w:val="1"/>
      <w:numFmt w:val="bullet"/>
      <w:lvlText w:val="•"/>
      <w:lvlJc w:val="left"/>
      <w:pPr>
        <w:tabs>
          <w:tab w:val="num" w:pos="5040"/>
        </w:tabs>
        <w:ind w:left="5040" w:hanging="360"/>
      </w:pPr>
      <w:rPr>
        <w:rFonts w:ascii="Arial" w:hAnsi="Arial" w:hint="default"/>
      </w:rPr>
    </w:lvl>
    <w:lvl w:ilvl="7" w:tplc="22687B46" w:tentative="1">
      <w:start w:val="1"/>
      <w:numFmt w:val="bullet"/>
      <w:lvlText w:val="•"/>
      <w:lvlJc w:val="left"/>
      <w:pPr>
        <w:tabs>
          <w:tab w:val="num" w:pos="5760"/>
        </w:tabs>
        <w:ind w:left="5760" w:hanging="360"/>
      </w:pPr>
      <w:rPr>
        <w:rFonts w:ascii="Arial" w:hAnsi="Arial" w:hint="default"/>
      </w:rPr>
    </w:lvl>
    <w:lvl w:ilvl="8" w:tplc="C8F27C8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0A30600"/>
    <w:multiLevelType w:val="multilevel"/>
    <w:tmpl w:val="AA58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907B0"/>
    <w:multiLevelType w:val="multilevel"/>
    <w:tmpl w:val="57EA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3B46C1"/>
    <w:multiLevelType w:val="multilevel"/>
    <w:tmpl w:val="29C0FE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90F7F"/>
    <w:multiLevelType w:val="multilevel"/>
    <w:tmpl w:val="4AD2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1034FB"/>
    <w:multiLevelType w:val="multilevel"/>
    <w:tmpl w:val="9CE2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9598D"/>
    <w:multiLevelType w:val="hybridMultilevel"/>
    <w:tmpl w:val="71CAD54E"/>
    <w:lvl w:ilvl="0" w:tplc="C3449CF4">
      <w:start w:val="1"/>
      <w:numFmt w:val="bullet"/>
      <w:lvlText w:val="•"/>
      <w:lvlJc w:val="left"/>
      <w:pPr>
        <w:tabs>
          <w:tab w:val="num" w:pos="720"/>
        </w:tabs>
        <w:ind w:left="720" w:hanging="360"/>
      </w:pPr>
      <w:rPr>
        <w:rFonts w:ascii="Arial" w:hAnsi="Arial" w:hint="default"/>
      </w:rPr>
    </w:lvl>
    <w:lvl w:ilvl="1" w:tplc="A82E8D58">
      <w:start w:val="1"/>
      <w:numFmt w:val="bullet"/>
      <w:lvlText w:val="•"/>
      <w:lvlJc w:val="left"/>
      <w:pPr>
        <w:tabs>
          <w:tab w:val="num" w:pos="1440"/>
        </w:tabs>
        <w:ind w:left="1440" w:hanging="360"/>
      </w:pPr>
      <w:rPr>
        <w:rFonts w:ascii="Arial" w:hAnsi="Arial" w:hint="default"/>
      </w:rPr>
    </w:lvl>
    <w:lvl w:ilvl="2" w:tplc="0B1EBE5C" w:tentative="1">
      <w:start w:val="1"/>
      <w:numFmt w:val="bullet"/>
      <w:lvlText w:val="•"/>
      <w:lvlJc w:val="left"/>
      <w:pPr>
        <w:tabs>
          <w:tab w:val="num" w:pos="2160"/>
        </w:tabs>
        <w:ind w:left="2160" w:hanging="360"/>
      </w:pPr>
      <w:rPr>
        <w:rFonts w:ascii="Arial" w:hAnsi="Arial" w:hint="default"/>
      </w:rPr>
    </w:lvl>
    <w:lvl w:ilvl="3" w:tplc="8162EB7E" w:tentative="1">
      <w:start w:val="1"/>
      <w:numFmt w:val="bullet"/>
      <w:lvlText w:val="•"/>
      <w:lvlJc w:val="left"/>
      <w:pPr>
        <w:tabs>
          <w:tab w:val="num" w:pos="2880"/>
        </w:tabs>
        <w:ind w:left="2880" w:hanging="360"/>
      </w:pPr>
      <w:rPr>
        <w:rFonts w:ascii="Arial" w:hAnsi="Arial" w:hint="default"/>
      </w:rPr>
    </w:lvl>
    <w:lvl w:ilvl="4" w:tplc="D7F4389E" w:tentative="1">
      <w:start w:val="1"/>
      <w:numFmt w:val="bullet"/>
      <w:lvlText w:val="•"/>
      <w:lvlJc w:val="left"/>
      <w:pPr>
        <w:tabs>
          <w:tab w:val="num" w:pos="3600"/>
        </w:tabs>
        <w:ind w:left="3600" w:hanging="360"/>
      </w:pPr>
      <w:rPr>
        <w:rFonts w:ascii="Arial" w:hAnsi="Arial" w:hint="default"/>
      </w:rPr>
    </w:lvl>
    <w:lvl w:ilvl="5" w:tplc="7082B5EC" w:tentative="1">
      <w:start w:val="1"/>
      <w:numFmt w:val="bullet"/>
      <w:lvlText w:val="•"/>
      <w:lvlJc w:val="left"/>
      <w:pPr>
        <w:tabs>
          <w:tab w:val="num" w:pos="4320"/>
        </w:tabs>
        <w:ind w:left="4320" w:hanging="360"/>
      </w:pPr>
      <w:rPr>
        <w:rFonts w:ascii="Arial" w:hAnsi="Arial" w:hint="default"/>
      </w:rPr>
    </w:lvl>
    <w:lvl w:ilvl="6" w:tplc="A7CE3664" w:tentative="1">
      <w:start w:val="1"/>
      <w:numFmt w:val="bullet"/>
      <w:lvlText w:val="•"/>
      <w:lvlJc w:val="left"/>
      <w:pPr>
        <w:tabs>
          <w:tab w:val="num" w:pos="5040"/>
        </w:tabs>
        <w:ind w:left="5040" w:hanging="360"/>
      </w:pPr>
      <w:rPr>
        <w:rFonts w:ascii="Arial" w:hAnsi="Arial" w:hint="default"/>
      </w:rPr>
    </w:lvl>
    <w:lvl w:ilvl="7" w:tplc="13C823B4" w:tentative="1">
      <w:start w:val="1"/>
      <w:numFmt w:val="bullet"/>
      <w:lvlText w:val="•"/>
      <w:lvlJc w:val="left"/>
      <w:pPr>
        <w:tabs>
          <w:tab w:val="num" w:pos="5760"/>
        </w:tabs>
        <w:ind w:left="5760" w:hanging="360"/>
      </w:pPr>
      <w:rPr>
        <w:rFonts w:ascii="Arial" w:hAnsi="Arial" w:hint="default"/>
      </w:rPr>
    </w:lvl>
    <w:lvl w:ilvl="8" w:tplc="F92A762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6624CED"/>
    <w:multiLevelType w:val="multilevel"/>
    <w:tmpl w:val="B0D4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981505">
    <w:abstractNumId w:val="17"/>
  </w:num>
  <w:num w:numId="2" w16cid:durableId="673653681">
    <w:abstractNumId w:val="14"/>
  </w:num>
  <w:num w:numId="3" w16cid:durableId="1853258508">
    <w:abstractNumId w:val="33"/>
  </w:num>
  <w:num w:numId="4" w16cid:durableId="1705207621">
    <w:abstractNumId w:val="22"/>
  </w:num>
  <w:num w:numId="5" w16cid:durableId="93092537">
    <w:abstractNumId w:val="1"/>
  </w:num>
  <w:num w:numId="6" w16cid:durableId="1699427845">
    <w:abstractNumId w:val="26"/>
  </w:num>
  <w:num w:numId="7" w16cid:durableId="935820678">
    <w:abstractNumId w:val="4"/>
  </w:num>
  <w:num w:numId="8" w16cid:durableId="1569917579">
    <w:abstractNumId w:val="24"/>
  </w:num>
  <w:num w:numId="9" w16cid:durableId="1448817422">
    <w:abstractNumId w:val="8"/>
  </w:num>
  <w:num w:numId="10" w16cid:durableId="284240715">
    <w:abstractNumId w:val="35"/>
  </w:num>
  <w:num w:numId="11" w16cid:durableId="1069841587">
    <w:abstractNumId w:val="5"/>
  </w:num>
  <w:num w:numId="12" w16cid:durableId="2043094900">
    <w:abstractNumId w:val="30"/>
  </w:num>
  <w:num w:numId="13" w16cid:durableId="9647929">
    <w:abstractNumId w:val="34"/>
  </w:num>
  <w:num w:numId="14" w16cid:durableId="1237738055">
    <w:abstractNumId w:val="28"/>
  </w:num>
  <w:num w:numId="15" w16cid:durableId="2021928616">
    <w:abstractNumId w:val="16"/>
  </w:num>
  <w:num w:numId="16" w16cid:durableId="1460880844">
    <w:abstractNumId w:val="11"/>
  </w:num>
  <w:num w:numId="17" w16cid:durableId="1077171009">
    <w:abstractNumId w:val="20"/>
  </w:num>
  <w:num w:numId="18" w16cid:durableId="1338002412">
    <w:abstractNumId w:val="7"/>
  </w:num>
  <w:num w:numId="19" w16cid:durableId="1749500389">
    <w:abstractNumId w:val="29"/>
  </w:num>
  <w:num w:numId="20" w16cid:durableId="810560497">
    <w:abstractNumId w:val="21"/>
  </w:num>
  <w:num w:numId="21" w16cid:durableId="1461656230">
    <w:abstractNumId w:val="3"/>
  </w:num>
  <w:num w:numId="22" w16cid:durableId="1433014036">
    <w:abstractNumId w:val="23"/>
  </w:num>
  <w:num w:numId="23" w16cid:durableId="105077410">
    <w:abstractNumId w:val="13"/>
  </w:num>
  <w:num w:numId="24" w16cid:durableId="2124809571">
    <w:abstractNumId w:val="19"/>
  </w:num>
  <w:num w:numId="25" w16cid:durableId="280260670">
    <w:abstractNumId w:val="32"/>
  </w:num>
  <w:num w:numId="26" w16cid:durableId="1345280363">
    <w:abstractNumId w:val="6"/>
  </w:num>
  <w:num w:numId="27" w16cid:durableId="1065302856">
    <w:abstractNumId w:val="15"/>
  </w:num>
  <w:num w:numId="28" w16cid:durableId="1687440379">
    <w:abstractNumId w:val="18"/>
  </w:num>
  <w:num w:numId="29" w16cid:durableId="1836460555">
    <w:abstractNumId w:val="12"/>
  </w:num>
  <w:num w:numId="30" w16cid:durableId="542443315">
    <w:abstractNumId w:val="31"/>
  </w:num>
  <w:num w:numId="31" w16cid:durableId="1017005458">
    <w:abstractNumId w:val="9"/>
  </w:num>
  <w:num w:numId="32" w16cid:durableId="2121298255">
    <w:abstractNumId w:val="10"/>
  </w:num>
  <w:num w:numId="33" w16cid:durableId="1712994789">
    <w:abstractNumId w:val="0"/>
  </w:num>
  <w:num w:numId="34" w16cid:durableId="1639258693">
    <w:abstractNumId w:val="27"/>
  </w:num>
  <w:num w:numId="35" w16cid:durableId="904753299">
    <w:abstractNumId w:val="2"/>
  </w:num>
  <w:num w:numId="36" w16cid:durableId="18091305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DB"/>
    <w:rsid w:val="002D422A"/>
    <w:rsid w:val="00646F12"/>
    <w:rsid w:val="00787D05"/>
    <w:rsid w:val="00837ED6"/>
    <w:rsid w:val="00AC7AD6"/>
    <w:rsid w:val="00AD5185"/>
    <w:rsid w:val="00B320EA"/>
    <w:rsid w:val="00D816E4"/>
    <w:rsid w:val="00E26ACF"/>
    <w:rsid w:val="00FD1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6DF1D9"/>
  <w15:chartTrackingRefBased/>
  <w15:docId w15:val="{E73303F1-4882-40EF-8832-225921AF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0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10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10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10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10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1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0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10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10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10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10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1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1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1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10DB"/>
    <w:rPr>
      <w:rFonts w:eastAsiaTheme="majorEastAsia" w:cstheme="majorBidi"/>
      <w:color w:val="272727" w:themeColor="text1" w:themeTint="D8"/>
    </w:rPr>
  </w:style>
  <w:style w:type="paragraph" w:styleId="Title">
    <w:name w:val="Title"/>
    <w:basedOn w:val="Normal"/>
    <w:next w:val="Normal"/>
    <w:link w:val="TitleChar"/>
    <w:uiPriority w:val="10"/>
    <w:qFormat/>
    <w:rsid w:val="00FD1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1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1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10DB"/>
    <w:pPr>
      <w:spacing w:before="160"/>
      <w:jc w:val="center"/>
    </w:pPr>
    <w:rPr>
      <w:i/>
      <w:iCs/>
      <w:color w:val="404040" w:themeColor="text1" w:themeTint="BF"/>
    </w:rPr>
  </w:style>
  <w:style w:type="character" w:customStyle="1" w:styleId="QuoteChar">
    <w:name w:val="Quote Char"/>
    <w:basedOn w:val="DefaultParagraphFont"/>
    <w:link w:val="Quote"/>
    <w:uiPriority w:val="29"/>
    <w:rsid w:val="00FD10DB"/>
    <w:rPr>
      <w:i/>
      <w:iCs/>
      <w:color w:val="404040" w:themeColor="text1" w:themeTint="BF"/>
    </w:rPr>
  </w:style>
  <w:style w:type="paragraph" w:styleId="ListParagraph">
    <w:name w:val="List Paragraph"/>
    <w:basedOn w:val="Normal"/>
    <w:uiPriority w:val="34"/>
    <w:qFormat/>
    <w:rsid w:val="00FD10DB"/>
    <w:pPr>
      <w:ind w:left="720"/>
      <w:contextualSpacing/>
    </w:pPr>
  </w:style>
  <w:style w:type="character" w:styleId="IntenseEmphasis">
    <w:name w:val="Intense Emphasis"/>
    <w:basedOn w:val="DefaultParagraphFont"/>
    <w:uiPriority w:val="21"/>
    <w:qFormat/>
    <w:rsid w:val="00FD10DB"/>
    <w:rPr>
      <w:i/>
      <w:iCs/>
      <w:color w:val="0F4761" w:themeColor="accent1" w:themeShade="BF"/>
    </w:rPr>
  </w:style>
  <w:style w:type="paragraph" w:styleId="IntenseQuote">
    <w:name w:val="Intense Quote"/>
    <w:basedOn w:val="Normal"/>
    <w:next w:val="Normal"/>
    <w:link w:val="IntenseQuoteChar"/>
    <w:uiPriority w:val="30"/>
    <w:qFormat/>
    <w:rsid w:val="00FD10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10DB"/>
    <w:rPr>
      <w:i/>
      <w:iCs/>
      <w:color w:val="0F4761" w:themeColor="accent1" w:themeShade="BF"/>
    </w:rPr>
  </w:style>
  <w:style w:type="character" w:styleId="IntenseReference">
    <w:name w:val="Intense Reference"/>
    <w:basedOn w:val="DefaultParagraphFont"/>
    <w:uiPriority w:val="32"/>
    <w:qFormat/>
    <w:rsid w:val="00FD10DB"/>
    <w:rPr>
      <w:b/>
      <w:bCs/>
      <w:smallCaps/>
      <w:color w:val="0F4761" w:themeColor="accent1" w:themeShade="BF"/>
      <w:spacing w:val="5"/>
    </w:rPr>
  </w:style>
  <w:style w:type="character" w:styleId="Strong">
    <w:name w:val="Strong"/>
    <w:basedOn w:val="DefaultParagraphFont"/>
    <w:uiPriority w:val="22"/>
    <w:qFormat/>
    <w:rsid w:val="00837ED6"/>
    <w:rPr>
      <w:b/>
      <w:bCs/>
    </w:rPr>
  </w:style>
  <w:style w:type="paragraph" w:styleId="NormalWeb">
    <w:name w:val="Normal (Web)"/>
    <w:basedOn w:val="Normal"/>
    <w:uiPriority w:val="99"/>
    <w:semiHidden/>
    <w:unhideWhenUsed/>
    <w:rsid w:val="00837E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26ACF"/>
    <w:rPr>
      <w:color w:val="467886" w:themeColor="hyperlink"/>
      <w:u w:val="single"/>
    </w:rPr>
  </w:style>
  <w:style w:type="character" w:styleId="UnresolvedMention">
    <w:name w:val="Unresolved Mention"/>
    <w:basedOn w:val="DefaultParagraphFont"/>
    <w:uiPriority w:val="99"/>
    <w:semiHidden/>
    <w:unhideWhenUsed/>
    <w:rsid w:val="00E26A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26227">
      <w:bodyDiv w:val="1"/>
      <w:marLeft w:val="0"/>
      <w:marRight w:val="0"/>
      <w:marTop w:val="0"/>
      <w:marBottom w:val="0"/>
      <w:divBdr>
        <w:top w:val="none" w:sz="0" w:space="0" w:color="auto"/>
        <w:left w:val="none" w:sz="0" w:space="0" w:color="auto"/>
        <w:bottom w:val="none" w:sz="0" w:space="0" w:color="auto"/>
        <w:right w:val="none" w:sz="0" w:space="0" w:color="auto"/>
      </w:divBdr>
    </w:div>
    <w:div w:id="76946204">
      <w:bodyDiv w:val="1"/>
      <w:marLeft w:val="0"/>
      <w:marRight w:val="0"/>
      <w:marTop w:val="0"/>
      <w:marBottom w:val="0"/>
      <w:divBdr>
        <w:top w:val="none" w:sz="0" w:space="0" w:color="auto"/>
        <w:left w:val="none" w:sz="0" w:space="0" w:color="auto"/>
        <w:bottom w:val="none" w:sz="0" w:space="0" w:color="auto"/>
        <w:right w:val="none" w:sz="0" w:space="0" w:color="auto"/>
      </w:divBdr>
    </w:div>
    <w:div w:id="132528602">
      <w:bodyDiv w:val="1"/>
      <w:marLeft w:val="0"/>
      <w:marRight w:val="0"/>
      <w:marTop w:val="0"/>
      <w:marBottom w:val="0"/>
      <w:divBdr>
        <w:top w:val="none" w:sz="0" w:space="0" w:color="auto"/>
        <w:left w:val="none" w:sz="0" w:space="0" w:color="auto"/>
        <w:bottom w:val="none" w:sz="0" w:space="0" w:color="auto"/>
        <w:right w:val="none" w:sz="0" w:space="0" w:color="auto"/>
      </w:divBdr>
    </w:div>
    <w:div w:id="189924668">
      <w:bodyDiv w:val="1"/>
      <w:marLeft w:val="0"/>
      <w:marRight w:val="0"/>
      <w:marTop w:val="0"/>
      <w:marBottom w:val="0"/>
      <w:divBdr>
        <w:top w:val="none" w:sz="0" w:space="0" w:color="auto"/>
        <w:left w:val="none" w:sz="0" w:space="0" w:color="auto"/>
        <w:bottom w:val="none" w:sz="0" w:space="0" w:color="auto"/>
        <w:right w:val="none" w:sz="0" w:space="0" w:color="auto"/>
      </w:divBdr>
      <w:divsChild>
        <w:div w:id="1245647901">
          <w:marLeft w:val="778"/>
          <w:marRight w:val="0"/>
          <w:marTop w:val="0"/>
          <w:marBottom w:val="0"/>
          <w:divBdr>
            <w:top w:val="none" w:sz="0" w:space="0" w:color="auto"/>
            <w:left w:val="none" w:sz="0" w:space="0" w:color="auto"/>
            <w:bottom w:val="none" w:sz="0" w:space="0" w:color="auto"/>
            <w:right w:val="none" w:sz="0" w:space="0" w:color="auto"/>
          </w:divBdr>
        </w:div>
        <w:div w:id="1444886822">
          <w:marLeft w:val="778"/>
          <w:marRight w:val="0"/>
          <w:marTop w:val="0"/>
          <w:marBottom w:val="0"/>
          <w:divBdr>
            <w:top w:val="none" w:sz="0" w:space="0" w:color="auto"/>
            <w:left w:val="none" w:sz="0" w:space="0" w:color="auto"/>
            <w:bottom w:val="none" w:sz="0" w:space="0" w:color="auto"/>
            <w:right w:val="none" w:sz="0" w:space="0" w:color="auto"/>
          </w:divBdr>
        </w:div>
      </w:divsChild>
    </w:div>
    <w:div w:id="269436078">
      <w:bodyDiv w:val="1"/>
      <w:marLeft w:val="0"/>
      <w:marRight w:val="0"/>
      <w:marTop w:val="0"/>
      <w:marBottom w:val="0"/>
      <w:divBdr>
        <w:top w:val="none" w:sz="0" w:space="0" w:color="auto"/>
        <w:left w:val="none" w:sz="0" w:space="0" w:color="auto"/>
        <w:bottom w:val="none" w:sz="0" w:space="0" w:color="auto"/>
        <w:right w:val="none" w:sz="0" w:space="0" w:color="auto"/>
      </w:divBdr>
    </w:div>
    <w:div w:id="284385142">
      <w:bodyDiv w:val="1"/>
      <w:marLeft w:val="0"/>
      <w:marRight w:val="0"/>
      <w:marTop w:val="0"/>
      <w:marBottom w:val="0"/>
      <w:divBdr>
        <w:top w:val="none" w:sz="0" w:space="0" w:color="auto"/>
        <w:left w:val="none" w:sz="0" w:space="0" w:color="auto"/>
        <w:bottom w:val="none" w:sz="0" w:space="0" w:color="auto"/>
        <w:right w:val="none" w:sz="0" w:space="0" w:color="auto"/>
      </w:divBdr>
    </w:div>
    <w:div w:id="395209409">
      <w:bodyDiv w:val="1"/>
      <w:marLeft w:val="0"/>
      <w:marRight w:val="0"/>
      <w:marTop w:val="0"/>
      <w:marBottom w:val="0"/>
      <w:divBdr>
        <w:top w:val="none" w:sz="0" w:space="0" w:color="auto"/>
        <w:left w:val="none" w:sz="0" w:space="0" w:color="auto"/>
        <w:bottom w:val="none" w:sz="0" w:space="0" w:color="auto"/>
        <w:right w:val="none" w:sz="0" w:space="0" w:color="auto"/>
      </w:divBdr>
    </w:div>
    <w:div w:id="422527781">
      <w:bodyDiv w:val="1"/>
      <w:marLeft w:val="0"/>
      <w:marRight w:val="0"/>
      <w:marTop w:val="0"/>
      <w:marBottom w:val="0"/>
      <w:divBdr>
        <w:top w:val="none" w:sz="0" w:space="0" w:color="auto"/>
        <w:left w:val="none" w:sz="0" w:space="0" w:color="auto"/>
        <w:bottom w:val="none" w:sz="0" w:space="0" w:color="auto"/>
        <w:right w:val="none" w:sz="0" w:space="0" w:color="auto"/>
      </w:divBdr>
    </w:div>
    <w:div w:id="480579836">
      <w:bodyDiv w:val="1"/>
      <w:marLeft w:val="0"/>
      <w:marRight w:val="0"/>
      <w:marTop w:val="0"/>
      <w:marBottom w:val="0"/>
      <w:divBdr>
        <w:top w:val="none" w:sz="0" w:space="0" w:color="auto"/>
        <w:left w:val="none" w:sz="0" w:space="0" w:color="auto"/>
        <w:bottom w:val="none" w:sz="0" w:space="0" w:color="auto"/>
        <w:right w:val="none" w:sz="0" w:space="0" w:color="auto"/>
      </w:divBdr>
    </w:div>
    <w:div w:id="544752123">
      <w:bodyDiv w:val="1"/>
      <w:marLeft w:val="0"/>
      <w:marRight w:val="0"/>
      <w:marTop w:val="0"/>
      <w:marBottom w:val="0"/>
      <w:divBdr>
        <w:top w:val="none" w:sz="0" w:space="0" w:color="auto"/>
        <w:left w:val="none" w:sz="0" w:space="0" w:color="auto"/>
        <w:bottom w:val="none" w:sz="0" w:space="0" w:color="auto"/>
        <w:right w:val="none" w:sz="0" w:space="0" w:color="auto"/>
      </w:divBdr>
    </w:div>
    <w:div w:id="785806665">
      <w:bodyDiv w:val="1"/>
      <w:marLeft w:val="0"/>
      <w:marRight w:val="0"/>
      <w:marTop w:val="0"/>
      <w:marBottom w:val="0"/>
      <w:divBdr>
        <w:top w:val="none" w:sz="0" w:space="0" w:color="auto"/>
        <w:left w:val="none" w:sz="0" w:space="0" w:color="auto"/>
        <w:bottom w:val="none" w:sz="0" w:space="0" w:color="auto"/>
        <w:right w:val="none" w:sz="0" w:space="0" w:color="auto"/>
      </w:divBdr>
    </w:div>
    <w:div w:id="791245874">
      <w:bodyDiv w:val="1"/>
      <w:marLeft w:val="0"/>
      <w:marRight w:val="0"/>
      <w:marTop w:val="0"/>
      <w:marBottom w:val="0"/>
      <w:divBdr>
        <w:top w:val="none" w:sz="0" w:space="0" w:color="auto"/>
        <w:left w:val="none" w:sz="0" w:space="0" w:color="auto"/>
        <w:bottom w:val="none" w:sz="0" w:space="0" w:color="auto"/>
        <w:right w:val="none" w:sz="0" w:space="0" w:color="auto"/>
      </w:divBdr>
    </w:div>
    <w:div w:id="823855654">
      <w:bodyDiv w:val="1"/>
      <w:marLeft w:val="0"/>
      <w:marRight w:val="0"/>
      <w:marTop w:val="0"/>
      <w:marBottom w:val="0"/>
      <w:divBdr>
        <w:top w:val="none" w:sz="0" w:space="0" w:color="auto"/>
        <w:left w:val="none" w:sz="0" w:space="0" w:color="auto"/>
        <w:bottom w:val="none" w:sz="0" w:space="0" w:color="auto"/>
        <w:right w:val="none" w:sz="0" w:space="0" w:color="auto"/>
      </w:divBdr>
      <w:divsChild>
        <w:div w:id="736902356">
          <w:marLeft w:val="778"/>
          <w:marRight w:val="0"/>
          <w:marTop w:val="0"/>
          <w:marBottom w:val="0"/>
          <w:divBdr>
            <w:top w:val="none" w:sz="0" w:space="0" w:color="auto"/>
            <w:left w:val="none" w:sz="0" w:space="0" w:color="auto"/>
            <w:bottom w:val="none" w:sz="0" w:space="0" w:color="auto"/>
            <w:right w:val="none" w:sz="0" w:space="0" w:color="auto"/>
          </w:divBdr>
        </w:div>
        <w:div w:id="411313756">
          <w:marLeft w:val="778"/>
          <w:marRight w:val="0"/>
          <w:marTop w:val="0"/>
          <w:marBottom w:val="0"/>
          <w:divBdr>
            <w:top w:val="none" w:sz="0" w:space="0" w:color="auto"/>
            <w:left w:val="none" w:sz="0" w:space="0" w:color="auto"/>
            <w:bottom w:val="none" w:sz="0" w:space="0" w:color="auto"/>
            <w:right w:val="none" w:sz="0" w:space="0" w:color="auto"/>
          </w:divBdr>
        </w:div>
      </w:divsChild>
    </w:div>
    <w:div w:id="869418086">
      <w:bodyDiv w:val="1"/>
      <w:marLeft w:val="0"/>
      <w:marRight w:val="0"/>
      <w:marTop w:val="0"/>
      <w:marBottom w:val="0"/>
      <w:divBdr>
        <w:top w:val="none" w:sz="0" w:space="0" w:color="auto"/>
        <w:left w:val="none" w:sz="0" w:space="0" w:color="auto"/>
        <w:bottom w:val="none" w:sz="0" w:space="0" w:color="auto"/>
        <w:right w:val="none" w:sz="0" w:space="0" w:color="auto"/>
      </w:divBdr>
    </w:div>
    <w:div w:id="921062646">
      <w:bodyDiv w:val="1"/>
      <w:marLeft w:val="0"/>
      <w:marRight w:val="0"/>
      <w:marTop w:val="0"/>
      <w:marBottom w:val="0"/>
      <w:divBdr>
        <w:top w:val="none" w:sz="0" w:space="0" w:color="auto"/>
        <w:left w:val="none" w:sz="0" w:space="0" w:color="auto"/>
        <w:bottom w:val="none" w:sz="0" w:space="0" w:color="auto"/>
        <w:right w:val="none" w:sz="0" w:space="0" w:color="auto"/>
      </w:divBdr>
    </w:div>
    <w:div w:id="933824850">
      <w:bodyDiv w:val="1"/>
      <w:marLeft w:val="0"/>
      <w:marRight w:val="0"/>
      <w:marTop w:val="0"/>
      <w:marBottom w:val="0"/>
      <w:divBdr>
        <w:top w:val="none" w:sz="0" w:space="0" w:color="auto"/>
        <w:left w:val="none" w:sz="0" w:space="0" w:color="auto"/>
        <w:bottom w:val="none" w:sz="0" w:space="0" w:color="auto"/>
        <w:right w:val="none" w:sz="0" w:space="0" w:color="auto"/>
      </w:divBdr>
    </w:div>
    <w:div w:id="997924412">
      <w:bodyDiv w:val="1"/>
      <w:marLeft w:val="0"/>
      <w:marRight w:val="0"/>
      <w:marTop w:val="0"/>
      <w:marBottom w:val="0"/>
      <w:divBdr>
        <w:top w:val="none" w:sz="0" w:space="0" w:color="auto"/>
        <w:left w:val="none" w:sz="0" w:space="0" w:color="auto"/>
        <w:bottom w:val="none" w:sz="0" w:space="0" w:color="auto"/>
        <w:right w:val="none" w:sz="0" w:space="0" w:color="auto"/>
      </w:divBdr>
      <w:divsChild>
        <w:div w:id="533814275">
          <w:marLeft w:val="778"/>
          <w:marRight w:val="0"/>
          <w:marTop w:val="0"/>
          <w:marBottom w:val="0"/>
          <w:divBdr>
            <w:top w:val="none" w:sz="0" w:space="0" w:color="auto"/>
            <w:left w:val="none" w:sz="0" w:space="0" w:color="auto"/>
            <w:bottom w:val="none" w:sz="0" w:space="0" w:color="auto"/>
            <w:right w:val="none" w:sz="0" w:space="0" w:color="auto"/>
          </w:divBdr>
        </w:div>
        <w:div w:id="251134534">
          <w:marLeft w:val="778"/>
          <w:marRight w:val="0"/>
          <w:marTop w:val="0"/>
          <w:marBottom w:val="0"/>
          <w:divBdr>
            <w:top w:val="none" w:sz="0" w:space="0" w:color="auto"/>
            <w:left w:val="none" w:sz="0" w:space="0" w:color="auto"/>
            <w:bottom w:val="none" w:sz="0" w:space="0" w:color="auto"/>
            <w:right w:val="none" w:sz="0" w:space="0" w:color="auto"/>
          </w:divBdr>
        </w:div>
      </w:divsChild>
    </w:div>
    <w:div w:id="1003819800">
      <w:bodyDiv w:val="1"/>
      <w:marLeft w:val="0"/>
      <w:marRight w:val="0"/>
      <w:marTop w:val="0"/>
      <w:marBottom w:val="0"/>
      <w:divBdr>
        <w:top w:val="none" w:sz="0" w:space="0" w:color="auto"/>
        <w:left w:val="none" w:sz="0" w:space="0" w:color="auto"/>
        <w:bottom w:val="none" w:sz="0" w:space="0" w:color="auto"/>
        <w:right w:val="none" w:sz="0" w:space="0" w:color="auto"/>
      </w:divBdr>
    </w:div>
    <w:div w:id="1073283739">
      <w:bodyDiv w:val="1"/>
      <w:marLeft w:val="0"/>
      <w:marRight w:val="0"/>
      <w:marTop w:val="0"/>
      <w:marBottom w:val="0"/>
      <w:divBdr>
        <w:top w:val="none" w:sz="0" w:space="0" w:color="auto"/>
        <w:left w:val="none" w:sz="0" w:space="0" w:color="auto"/>
        <w:bottom w:val="none" w:sz="0" w:space="0" w:color="auto"/>
        <w:right w:val="none" w:sz="0" w:space="0" w:color="auto"/>
      </w:divBdr>
    </w:div>
    <w:div w:id="1081945879">
      <w:bodyDiv w:val="1"/>
      <w:marLeft w:val="0"/>
      <w:marRight w:val="0"/>
      <w:marTop w:val="0"/>
      <w:marBottom w:val="0"/>
      <w:divBdr>
        <w:top w:val="none" w:sz="0" w:space="0" w:color="auto"/>
        <w:left w:val="none" w:sz="0" w:space="0" w:color="auto"/>
        <w:bottom w:val="none" w:sz="0" w:space="0" w:color="auto"/>
        <w:right w:val="none" w:sz="0" w:space="0" w:color="auto"/>
      </w:divBdr>
    </w:div>
    <w:div w:id="1109812133">
      <w:bodyDiv w:val="1"/>
      <w:marLeft w:val="0"/>
      <w:marRight w:val="0"/>
      <w:marTop w:val="0"/>
      <w:marBottom w:val="0"/>
      <w:divBdr>
        <w:top w:val="none" w:sz="0" w:space="0" w:color="auto"/>
        <w:left w:val="none" w:sz="0" w:space="0" w:color="auto"/>
        <w:bottom w:val="none" w:sz="0" w:space="0" w:color="auto"/>
        <w:right w:val="none" w:sz="0" w:space="0" w:color="auto"/>
      </w:divBdr>
    </w:div>
    <w:div w:id="1121417550">
      <w:bodyDiv w:val="1"/>
      <w:marLeft w:val="0"/>
      <w:marRight w:val="0"/>
      <w:marTop w:val="0"/>
      <w:marBottom w:val="0"/>
      <w:divBdr>
        <w:top w:val="none" w:sz="0" w:space="0" w:color="auto"/>
        <w:left w:val="none" w:sz="0" w:space="0" w:color="auto"/>
        <w:bottom w:val="none" w:sz="0" w:space="0" w:color="auto"/>
        <w:right w:val="none" w:sz="0" w:space="0" w:color="auto"/>
      </w:divBdr>
    </w:div>
    <w:div w:id="1129323614">
      <w:bodyDiv w:val="1"/>
      <w:marLeft w:val="0"/>
      <w:marRight w:val="0"/>
      <w:marTop w:val="0"/>
      <w:marBottom w:val="0"/>
      <w:divBdr>
        <w:top w:val="none" w:sz="0" w:space="0" w:color="auto"/>
        <w:left w:val="none" w:sz="0" w:space="0" w:color="auto"/>
        <w:bottom w:val="none" w:sz="0" w:space="0" w:color="auto"/>
        <w:right w:val="none" w:sz="0" w:space="0" w:color="auto"/>
      </w:divBdr>
    </w:div>
    <w:div w:id="1135676999">
      <w:bodyDiv w:val="1"/>
      <w:marLeft w:val="0"/>
      <w:marRight w:val="0"/>
      <w:marTop w:val="0"/>
      <w:marBottom w:val="0"/>
      <w:divBdr>
        <w:top w:val="none" w:sz="0" w:space="0" w:color="auto"/>
        <w:left w:val="none" w:sz="0" w:space="0" w:color="auto"/>
        <w:bottom w:val="none" w:sz="0" w:space="0" w:color="auto"/>
        <w:right w:val="none" w:sz="0" w:space="0" w:color="auto"/>
      </w:divBdr>
    </w:div>
    <w:div w:id="1145243170">
      <w:bodyDiv w:val="1"/>
      <w:marLeft w:val="0"/>
      <w:marRight w:val="0"/>
      <w:marTop w:val="0"/>
      <w:marBottom w:val="0"/>
      <w:divBdr>
        <w:top w:val="none" w:sz="0" w:space="0" w:color="auto"/>
        <w:left w:val="none" w:sz="0" w:space="0" w:color="auto"/>
        <w:bottom w:val="none" w:sz="0" w:space="0" w:color="auto"/>
        <w:right w:val="none" w:sz="0" w:space="0" w:color="auto"/>
      </w:divBdr>
    </w:div>
    <w:div w:id="1216894818">
      <w:bodyDiv w:val="1"/>
      <w:marLeft w:val="0"/>
      <w:marRight w:val="0"/>
      <w:marTop w:val="0"/>
      <w:marBottom w:val="0"/>
      <w:divBdr>
        <w:top w:val="none" w:sz="0" w:space="0" w:color="auto"/>
        <w:left w:val="none" w:sz="0" w:space="0" w:color="auto"/>
        <w:bottom w:val="none" w:sz="0" w:space="0" w:color="auto"/>
        <w:right w:val="none" w:sz="0" w:space="0" w:color="auto"/>
      </w:divBdr>
    </w:div>
    <w:div w:id="1225025550">
      <w:bodyDiv w:val="1"/>
      <w:marLeft w:val="0"/>
      <w:marRight w:val="0"/>
      <w:marTop w:val="0"/>
      <w:marBottom w:val="0"/>
      <w:divBdr>
        <w:top w:val="none" w:sz="0" w:space="0" w:color="auto"/>
        <w:left w:val="none" w:sz="0" w:space="0" w:color="auto"/>
        <w:bottom w:val="none" w:sz="0" w:space="0" w:color="auto"/>
        <w:right w:val="none" w:sz="0" w:space="0" w:color="auto"/>
      </w:divBdr>
    </w:div>
    <w:div w:id="1233351434">
      <w:bodyDiv w:val="1"/>
      <w:marLeft w:val="0"/>
      <w:marRight w:val="0"/>
      <w:marTop w:val="0"/>
      <w:marBottom w:val="0"/>
      <w:divBdr>
        <w:top w:val="none" w:sz="0" w:space="0" w:color="auto"/>
        <w:left w:val="none" w:sz="0" w:space="0" w:color="auto"/>
        <w:bottom w:val="none" w:sz="0" w:space="0" w:color="auto"/>
        <w:right w:val="none" w:sz="0" w:space="0" w:color="auto"/>
      </w:divBdr>
    </w:div>
    <w:div w:id="1256597148">
      <w:bodyDiv w:val="1"/>
      <w:marLeft w:val="0"/>
      <w:marRight w:val="0"/>
      <w:marTop w:val="0"/>
      <w:marBottom w:val="0"/>
      <w:divBdr>
        <w:top w:val="none" w:sz="0" w:space="0" w:color="auto"/>
        <w:left w:val="none" w:sz="0" w:space="0" w:color="auto"/>
        <w:bottom w:val="none" w:sz="0" w:space="0" w:color="auto"/>
        <w:right w:val="none" w:sz="0" w:space="0" w:color="auto"/>
      </w:divBdr>
    </w:div>
    <w:div w:id="1326594074">
      <w:bodyDiv w:val="1"/>
      <w:marLeft w:val="0"/>
      <w:marRight w:val="0"/>
      <w:marTop w:val="0"/>
      <w:marBottom w:val="0"/>
      <w:divBdr>
        <w:top w:val="none" w:sz="0" w:space="0" w:color="auto"/>
        <w:left w:val="none" w:sz="0" w:space="0" w:color="auto"/>
        <w:bottom w:val="none" w:sz="0" w:space="0" w:color="auto"/>
        <w:right w:val="none" w:sz="0" w:space="0" w:color="auto"/>
      </w:divBdr>
    </w:div>
    <w:div w:id="1559896349">
      <w:bodyDiv w:val="1"/>
      <w:marLeft w:val="0"/>
      <w:marRight w:val="0"/>
      <w:marTop w:val="0"/>
      <w:marBottom w:val="0"/>
      <w:divBdr>
        <w:top w:val="none" w:sz="0" w:space="0" w:color="auto"/>
        <w:left w:val="none" w:sz="0" w:space="0" w:color="auto"/>
        <w:bottom w:val="none" w:sz="0" w:space="0" w:color="auto"/>
        <w:right w:val="none" w:sz="0" w:space="0" w:color="auto"/>
      </w:divBdr>
    </w:div>
    <w:div w:id="1576671083">
      <w:bodyDiv w:val="1"/>
      <w:marLeft w:val="0"/>
      <w:marRight w:val="0"/>
      <w:marTop w:val="0"/>
      <w:marBottom w:val="0"/>
      <w:divBdr>
        <w:top w:val="none" w:sz="0" w:space="0" w:color="auto"/>
        <w:left w:val="none" w:sz="0" w:space="0" w:color="auto"/>
        <w:bottom w:val="none" w:sz="0" w:space="0" w:color="auto"/>
        <w:right w:val="none" w:sz="0" w:space="0" w:color="auto"/>
      </w:divBdr>
      <w:divsChild>
        <w:div w:id="1271626162">
          <w:marLeft w:val="778"/>
          <w:marRight w:val="0"/>
          <w:marTop w:val="0"/>
          <w:marBottom w:val="0"/>
          <w:divBdr>
            <w:top w:val="none" w:sz="0" w:space="0" w:color="auto"/>
            <w:left w:val="none" w:sz="0" w:space="0" w:color="auto"/>
            <w:bottom w:val="none" w:sz="0" w:space="0" w:color="auto"/>
            <w:right w:val="none" w:sz="0" w:space="0" w:color="auto"/>
          </w:divBdr>
        </w:div>
        <w:div w:id="2017684063">
          <w:marLeft w:val="778"/>
          <w:marRight w:val="0"/>
          <w:marTop w:val="0"/>
          <w:marBottom w:val="0"/>
          <w:divBdr>
            <w:top w:val="none" w:sz="0" w:space="0" w:color="auto"/>
            <w:left w:val="none" w:sz="0" w:space="0" w:color="auto"/>
            <w:bottom w:val="none" w:sz="0" w:space="0" w:color="auto"/>
            <w:right w:val="none" w:sz="0" w:space="0" w:color="auto"/>
          </w:divBdr>
        </w:div>
      </w:divsChild>
    </w:div>
    <w:div w:id="1913852134">
      <w:bodyDiv w:val="1"/>
      <w:marLeft w:val="0"/>
      <w:marRight w:val="0"/>
      <w:marTop w:val="0"/>
      <w:marBottom w:val="0"/>
      <w:divBdr>
        <w:top w:val="none" w:sz="0" w:space="0" w:color="auto"/>
        <w:left w:val="none" w:sz="0" w:space="0" w:color="auto"/>
        <w:bottom w:val="none" w:sz="0" w:space="0" w:color="auto"/>
        <w:right w:val="none" w:sz="0" w:space="0" w:color="auto"/>
      </w:divBdr>
      <w:divsChild>
        <w:div w:id="838693650">
          <w:marLeft w:val="778"/>
          <w:marRight w:val="0"/>
          <w:marTop w:val="0"/>
          <w:marBottom w:val="0"/>
          <w:divBdr>
            <w:top w:val="none" w:sz="0" w:space="0" w:color="auto"/>
            <w:left w:val="none" w:sz="0" w:space="0" w:color="auto"/>
            <w:bottom w:val="none" w:sz="0" w:space="0" w:color="auto"/>
            <w:right w:val="none" w:sz="0" w:space="0" w:color="auto"/>
          </w:divBdr>
        </w:div>
        <w:div w:id="1614753334">
          <w:marLeft w:val="778"/>
          <w:marRight w:val="0"/>
          <w:marTop w:val="0"/>
          <w:marBottom w:val="0"/>
          <w:divBdr>
            <w:top w:val="none" w:sz="0" w:space="0" w:color="auto"/>
            <w:left w:val="none" w:sz="0" w:space="0" w:color="auto"/>
            <w:bottom w:val="none" w:sz="0" w:space="0" w:color="auto"/>
            <w:right w:val="none" w:sz="0" w:space="0" w:color="auto"/>
          </w:divBdr>
        </w:div>
      </w:divsChild>
    </w:div>
    <w:div w:id="1914121313">
      <w:bodyDiv w:val="1"/>
      <w:marLeft w:val="0"/>
      <w:marRight w:val="0"/>
      <w:marTop w:val="0"/>
      <w:marBottom w:val="0"/>
      <w:divBdr>
        <w:top w:val="none" w:sz="0" w:space="0" w:color="auto"/>
        <w:left w:val="none" w:sz="0" w:space="0" w:color="auto"/>
        <w:bottom w:val="none" w:sz="0" w:space="0" w:color="auto"/>
        <w:right w:val="none" w:sz="0" w:space="0" w:color="auto"/>
      </w:divBdr>
    </w:div>
    <w:div w:id="1942492393">
      <w:bodyDiv w:val="1"/>
      <w:marLeft w:val="0"/>
      <w:marRight w:val="0"/>
      <w:marTop w:val="0"/>
      <w:marBottom w:val="0"/>
      <w:divBdr>
        <w:top w:val="none" w:sz="0" w:space="0" w:color="auto"/>
        <w:left w:val="none" w:sz="0" w:space="0" w:color="auto"/>
        <w:bottom w:val="none" w:sz="0" w:space="0" w:color="auto"/>
        <w:right w:val="none" w:sz="0" w:space="0" w:color="auto"/>
      </w:divBdr>
      <w:divsChild>
        <w:div w:id="723019283">
          <w:marLeft w:val="0"/>
          <w:marRight w:val="0"/>
          <w:marTop w:val="0"/>
          <w:marBottom w:val="0"/>
          <w:divBdr>
            <w:top w:val="none" w:sz="0" w:space="0" w:color="auto"/>
            <w:left w:val="none" w:sz="0" w:space="0" w:color="auto"/>
            <w:bottom w:val="none" w:sz="0" w:space="0" w:color="auto"/>
            <w:right w:val="none" w:sz="0" w:space="0" w:color="auto"/>
          </w:divBdr>
        </w:div>
        <w:div w:id="335688202">
          <w:marLeft w:val="0"/>
          <w:marRight w:val="0"/>
          <w:marTop w:val="0"/>
          <w:marBottom w:val="0"/>
          <w:divBdr>
            <w:top w:val="none" w:sz="0" w:space="0" w:color="auto"/>
            <w:left w:val="none" w:sz="0" w:space="0" w:color="auto"/>
            <w:bottom w:val="none" w:sz="0" w:space="0" w:color="auto"/>
            <w:right w:val="none" w:sz="0" w:space="0" w:color="auto"/>
          </w:divBdr>
        </w:div>
        <w:div w:id="1207108347">
          <w:marLeft w:val="0"/>
          <w:marRight w:val="0"/>
          <w:marTop w:val="0"/>
          <w:marBottom w:val="0"/>
          <w:divBdr>
            <w:top w:val="none" w:sz="0" w:space="0" w:color="auto"/>
            <w:left w:val="none" w:sz="0" w:space="0" w:color="auto"/>
            <w:bottom w:val="none" w:sz="0" w:space="0" w:color="auto"/>
            <w:right w:val="none" w:sz="0" w:space="0" w:color="auto"/>
          </w:divBdr>
        </w:div>
        <w:div w:id="1370690427">
          <w:marLeft w:val="0"/>
          <w:marRight w:val="0"/>
          <w:marTop w:val="0"/>
          <w:marBottom w:val="0"/>
          <w:divBdr>
            <w:top w:val="none" w:sz="0" w:space="0" w:color="auto"/>
            <w:left w:val="none" w:sz="0" w:space="0" w:color="auto"/>
            <w:bottom w:val="none" w:sz="0" w:space="0" w:color="auto"/>
            <w:right w:val="none" w:sz="0" w:space="0" w:color="auto"/>
          </w:divBdr>
        </w:div>
        <w:div w:id="1177041754">
          <w:marLeft w:val="0"/>
          <w:marRight w:val="0"/>
          <w:marTop w:val="0"/>
          <w:marBottom w:val="0"/>
          <w:divBdr>
            <w:top w:val="none" w:sz="0" w:space="0" w:color="auto"/>
            <w:left w:val="none" w:sz="0" w:space="0" w:color="auto"/>
            <w:bottom w:val="none" w:sz="0" w:space="0" w:color="auto"/>
            <w:right w:val="none" w:sz="0" w:space="0" w:color="auto"/>
          </w:divBdr>
        </w:div>
        <w:div w:id="2053067259">
          <w:marLeft w:val="0"/>
          <w:marRight w:val="0"/>
          <w:marTop w:val="0"/>
          <w:marBottom w:val="0"/>
          <w:divBdr>
            <w:top w:val="none" w:sz="0" w:space="0" w:color="auto"/>
            <w:left w:val="none" w:sz="0" w:space="0" w:color="auto"/>
            <w:bottom w:val="none" w:sz="0" w:space="0" w:color="auto"/>
            <w:right w:val="none" w:sz="0" w:space="0" w:color="auto"/>
          </w:divBdr>
        </w:div>
        <w:div w:id="542644588">
          <w:marLeft w:val="0"/>
          <w:marRight w:val="0"/>
          <w:marTop w:val="0"/>
          <w:marBottom w:val="0"/>
          <w:divBdr>
            <w:top w:val="none" w:sz="0" w:space="0" w:color="auto"/>
            <w:left w:val="none" w:sz="0" w:space="0" w:color="auto"/>
            <w:bottom w:val="none" w:sz="0" w:space="0" w:color="auto"/>
            <w:right w:val="none" w:sz="0" w:space="0" w:color="auto"/>
          </w:divBdr>
        </w:div>
        <w:div w:id="1642421258">
          <w:marLeft w:val="0"/>
          <w:marRight w:val="0"/>
          <w:marTop w:val="0"/>
          <w:marBottom w:val="0"/>
          <w:divBdr>
            <w:top w:val="none" w:sz="0" w:space="0" w:color="auto"/>
            <w:left w:val="none" w:sz="0" w:space="0" w:color="auto"/>
            <w:bottom w:val="none" w:sz="0" w:space="0" w:color="auto"/>
            <w:right w:val="none" w:sz="0" w:space="0" w:color="auto"/>
          </w:divBdr>
        </w:div>
        <w:div w:id="457407690">
          <w:marLeft w:val="0"/>
          <w:marRight w:val="0"/>
          <w:marTop w:val="0"/>
          <w:marBottom w:val="0"/>
          <w:divBdr>
            <w:top w:val="none" w:sz="0" w:space="0" w:color="auto"/>
            <w:left w:val="none" w:sz="0" w:space="0" w:color="auto"/>
            <w:bottom w:val="none" w:sz="0" w:space="0" w:color="auto"/>
            <w:right w:val="none" w:sz="0" w:space="0" w:color="auto"/>
          </w:divBdr>
        </w:div>
      </w:divsChild>
    </w:div>
    <w:div w:id="1995335082">
      <w:bodyDiv w:val="1"/>
      <w:marLeft w:val="0"/>
      <w:marRight w:val="0"/>
      <w:marTop w:val="0"/>
      <w:marBottom w:val="0"/>
      <w:divBdr>
        <w:top w:val="none" w:sz="0" w:space="0" w:color="auto"/>
        <w:left w:val="none" w:sz="0" w:space="0" w:color="auto"/>
        <w:bottom w:val="none" w:sz="0" w:space="0" w:color="auto"/>
        <w:right w:val="none" w:sz="0" w:space="0" w:color="auto"/>
      </w:divBdr>
    </w:div>
    <w:div w:id="2016767225">
      <w:bodyDiv w:val="1"/>
      <w:marLeft w:val="0"/>
      <w:marRight w:val="0"/>
      <w:marTop w:val="0"/>
      <w:marBottom w:val="0"/>
      <w:divBdr>
        <w:top w:val="none" w:sz="0" w:space="0" w:color="auto"/>
        <w:left w:val="none" w:sz="0" w:space="0" w:color="auto"/>
        <w:bottom w:val="none" w:sz="0" w:space="0" w:color="auto"/>
        <w:right w:val="none" w:sz="0" w:space="0" w:color="auto"/>
      </w:divBdr>
    </w:div>
    <w:div w:id="2034840926">
      <w:bodyDiv w:val="1"/>
      <w:marLeft w:val="0"/>
      <w:marRight w:val="0"/>
      <w:marTop w:val="0"/>
      <w:marBottom w:val="0"/>
      <w:divBdr>
        <w:top w:val="none" w:sz="0" w:space="0" w:color="auto"/>
        <w:left w:val="none" w:sz="0" w:space="0" w:color="auto"/>
        <w:bottom w:val="none" w:sz="0" w:space="0" w:color="auto"/>
        <w:right w:val="none" w:sz="0" w:space="0" w:color="auto"/>
      </w:divBdr>
      <w:divsChild>
        <w:div w:id="764418002">
          <w:marLeft w:val="0"/>
          <w:marRight w:val="0"/>
          <w:marTop w:val="0"/>
          <w:marBottom w:val="0"/>
          <w:divBdr>
            <w:top w:val="none" w:sz="0" w:space="0" w:color="auto"/>
            <w:left w:val="none" w:sz="0" w:space="0" w:color="auto"/>
            <w:bottom w:val="none" w:sz="0" w:space="0" w:color="auto"/>
            <w:right w:val="none" w:sz="0" w:space="0" w:color="auto"/>
          </w:divBdr>
        </w:div>
        <w:div w:id="1802307586">
          <w:marLeft w:val="0"/>
          <w:marRight w:val="0"/>
          <w:marTop w:val="0"/>
          <w:marBottom w:val="0"/>
          <w:divBdr>
            <w:top w:val="none" w:sz="0" w:space="0" w:color="auto"/>
            <w:left w:val="none" w:sz="0" w:space="0" w:color="auto"/>
            <w:bottom w:val="none" w:sz="0" w:space="0" w:color="auto"/>
            <w:right w:val="none" w:sz="0" w:space="0" w:color="auto"/>
          </w:divBdr>
        </w:div>
        <w:div w:id="1375497301">
          <w:marLeft w:val="0"/>
          <w:marRight w:val="0"/>
          <w:marTop w:val="0"/>
          <w:marBottom w:val="0"/>
          <w:divBdr>
            <w:top w:val="none" w:sz="0" w:space="0" w:color="auto"/>
            <w:left w:val="none" w:sz="0" w:space="0" w:color="auto"/>
            <w:bottom w:val="none" w:sz="0" w:space="0" w:color="auto"/>
            <w:right w:val="none" w:sz="0" w:space="0" w:color="auto"/>
          </w:divBdr>
        </w:div>
        <w:div w:id="625701913">
          <w:marLeft w:val="0"/>
          <w:marRight w:val="0"/>
          <w:marTop w:val="0"/>
          <w:marBottom w:val="0"/>
          <w:divBdr>
            <w:top w:val="none" w:sz="0" w:space="0" w:color="auto"/>
            <w:left w:val="none" w:sz="0" w:space="0" w:color="auto"/>
            <w:bottom w:val="none" w:sz="0" w:space="0" w:color="auto"/>
            <w:right w:val="none" w:sz="0" w:space="0" w:color="auto"/>
          </w:divBdr>
        </w:div>
        <w:div w:id="1108233808">
          <w:marLeft w:val="0"/>
          <w:marRight w:val="0"/>
          <w:marTop w:val="0"/>
          <w:marBottom w:val="0"/>
          <w:divBdr>
            <w:top w:val="none" w:sz="0" w:space="0" w:color="auto"/>
            <w:left w:val="none" w:sz="0" w:space="0" w:color="auto"/>
            <w:bottom w:val="none" w:sz="0" w:space="0" w:color="auto"/>
            <w:right w:val="none" w:sz="0" w:space="0" w:color="auto"/>
          </w:divBdr>
        </w:div>
        <w:div w:id="1860044743">
          <w:marLeft w:val="0"/>
          <w:marRight w:val="0"/>
          <w:marTop w:val="0"/>
          <w:marBottom w:val="0"/>
          <w:divBdr>
            <w:top w:val="none" w:sz="0" w:space="0" w:color="auto"/>
            <w:left w:val="none" w:sz="0" w:space="0" w:color="auto"/>
            <w:bottom w:val="none" w:sz="0" w:space="0" w:color="auto"/>
            <w:right w:val="none" w:sz="0" w:space="0" w:color="auto"/>
          </w:divBdr>
        </w:div>
        <w:div w:id="1772971760">
          <w:marLeft w:val="0"/>
          <w:marRight w:val="0"/>
          <w:marTop w:val="0"/>
          <w:marBottom w:val="0"/>
          <w:divBdr>
            <w:top w:val="none" w:sz="0" w:space="0" w:color="auto"/>
            <w:left w:val="none" w:sz="0" w:space="0" w:color="auto"/>
            <w:bottom w:val="none" w:sz="0" w:space="0" w:color="auto"/>
            <w:right w:val="none" w:sz="0" w:space="0" w:color="auto"/>
          </w:divBdr>
        </w:div>
        <w:div w:id="656422775">
          <w:marLeft w:val="0"/>
          <w:marRight w:val="0"/>
          <w:marTop w:val="0"/>
          <w:marBottom w:val="0"/>
          <w:divBdr>
            <w:top w:val="none" w:sz="0" w:space="0" w:color="auto"/>
            <w:left w:val="none" w:sz="0" w:space="0" w:color="auto"/>
            <w:bottom w:val="none" w:sz="0" w:space="0" w:color="auto"/>
            <w:right w:val="none" w:sz="0" w:space="0" w:color="auto"/>
          </w:divBdr>
        </w:div>
        <w:div w:id="1816146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ealth.data.ny.gov/Health/New-York-State-Statewide-COVID-19-Vaccination-Data/duk7-xrni/data_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ealth.data.ny.gov/Health/New-York-State-Statewide-COVID-19-Testing-Archived/xdss-u53e/data_preview" TargetMode="External"/><Relationship Id="rId5" Type="http://schemas.openxmlformats.org/officeDocument/2006/relationships/image" Target="media/image1.png"/><Relationship Id="rId10" Type="http://schemas.openxmlformats.org/officeDocument/2006/relationships/hyperlink" Target="https://health.data.ny.gov/Health/New-York-State-Statewide-COVID-19-Hospitalizations/jw46-jpb7/data_pre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15</Pages>
  <Words>2844</Words>
  <Characters>17976</Characters>
  <Application>Microsoft Office Word</Application>
  <DocSecurity>0</DocSecurity>
  <Lines>428</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Sameera Velama</dc:creator>
  <cp:keywords/>
  <dc:description/>
  <cp:lastModifiedBy>Sameera Velama</cp:lastModifiedBy>
  <cp:revision>2</cp:revision>
  <dcterms:created xsi:type="dcterms:W3CDTF">2024-11-24T19:03:00Z</dcterms:created>
  <dcterms:modified xsi:type="dcterms:W3CDTF">2024-11-24T20:21:00Z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6e008975-30c6-49c3-a322-cdb69f0e2006</vt:lpwstr>
  </property>
</Properties>
</file>