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PubMed 生醫摘要檢索詞項權重比較</w:t>
      </w:r>
    </w:p>
    <w:p>
      <w:pPr>
        <w:keepNext/>
      </w:pPr>
      <w:r>
        <w:t>學號：P77151087　姓名：唐懷毅</w:t>
      </w:r>
    </w:p>
    <w:p>
      <w:pPr>
        <w:pStyle w:val="Subtitle"/>
      </w:pPr>
      <w:r>
        <w:t>生醫資訊檢索 HW3  |  One-page report  |  2026/10/26</w:t>
      </w:r>
    </w:p>
    <w:p>
      <w:pPr>
        <w:pStyle w:val="Heading1"/>
      </w:pPr>
      <w:r>
        <w:t>實驗設計與系統</w:t>
      </w:r>
    </w:p>
    <w:p>
      <w:pPr/>
      <w:r>
        <w:t>固定 3,000 篇英文 PubMed 摘要（出版截止 2026/09/29）；僅摘要正文計分。C 前處理為切詞及移除停用詞，不做 stemming，共 31,662 詞。文件與查詢共用詞彙表及權重，以完整向量 cosine 降序輸出 Top 10 與分數。</w:t>
      </w:r>
    </w:p>
    <w:p>
      <w:pPr/>
      <w:r>
        <w:t>比較 TF=f、Log TF=1+log10(f)、IDF-only，以及分別乘 IDF 的 TF-IDF、Log TF-IDF；IDF=log10(N/DF)，未出現詞權重為 0。另加 BM25（k1=1.2、b=0.75），採獨立計分。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90" w:type="dxa"/>
          <w:right w:w="90" w:type="dxa"/>
        </w:tblCellMar>
      </w:tblPr>
      <w:tblGrid>
        <w:gridCol w:w="4851"/>
        <w:gridCol w:w="1793"/>
        <w:gridCol w:w="2109"/>
        <w:gridCol w:w="1793"/>
      </w:tblGrid>
      <w:tr>
        <w:trPr>
          <w:cantSplit/>
          <w:tblHeader/>
        </w:trPr>
        <w:tc>
          <w:tcPr>
            <w:tcW w:type="dxa" w:w="4851"/>
            <w:vAlign w:val="center"/>
            <w:shd w:fill="EAF2F4"/>
          </w:tcPr>
          <w:p>
            <w:pPr>
              <w:pStyle w:val="ReportCell"/>
              <w:keepNext/>
              <w:jc w:val="left"/>
            </w:pPr>
            <w:r>
              <w:rPr>
                <w:b/>
              </w:rPr>
              <w:t>代表詞／TF、DF 類型</w:t>
            </w:r>
          </w:p>
        </w:tc>
        <w:tc>
          <w:tcPr>
            <w:tcW w:type="dxa" w:w="1793"/>
            <w:vAlign w:val="center"/>
            <w:shd w:fill="EAF2F4"/>
          </w:tcPr>
          <w:p>
            <w:pPr>
              <w:pStyle w:val="ReportCell"/>
              <w:keepNext/>
              <w:jc w:val="center"/>
            </w:pPr>
            <w:r>
              <w:rPr>
                <w:b/>
              </w:rPr>
              <w:t>平均 TF*</w:t>
            </w:r>
          </w:p>
        </w:tc>
        <w:tc>
          <w:tcPr>
            <w:tcW w:type="dxa" w:w="2109"/>
            <w:vAlign w:val="center"/>
            <w:shd w:fill="EAF2F4"/>
          </w:tcPr>
          <w:p>
            <w:pPr>
              <w:pStyle w:val="ReportCell"/>
              <w:keepNext/>
              <w:jc w:val="center"/>
            </w:pPr>
            <w:r>
              <w:rPr>
                <w:b/>
              </w:rPr>
              <w:t>DF / 3000</w:t>
            </w:r>
          </w:p>
        </w:tc>
        <w:tc>
          <w:tcPr>
            <w:tcW w:type="dxa" w:w="1793"/>
            <w:vAlign w:val="center"/>
            <w:shd w:fill="EAF2F4"/>
          </w:tcPr>
          <w:p>
            <w:pPr>
              <w:pStyle w:val="ReportCell"/>
              <w:keepNext/>
              <w:jc w:val="center"/>
            </w:pPr>
            <w:r>
              <w:rPr>
                <w:b/>
              </w:rPr>
              <w:t>IDF</w:t>
            </w:r>
          </w:p>
        </w:tc>
      </w:tr>
      <w:tr>
        <w:trPr>
          <w:cantSplit/>
        </w:trPr>
        <w:tc>
          <w:tcPr>
            <w:tcW w:type="dxa" w:w="4851"/>
            <w:vAlign w:val="center"/>
            <w:shd w:fill="FFFFFF"/>
          </w:tcPr>
          <w:p>
            <w:pPr>
              <w:pStyle w:val="ReportCell"/>
              <w:keepNext/>
              <w:jc w:val="left"/>
            </w:pPr>
            <w:r>
              <w:rPr>
                <w:b w:val="0"/>
              </w:rPr>
              <w:t>GLP-1（高／高）</w:t>
            </w:r>
          </w:p>
        </w:tc>
        <w:tc>
          <w:tcPr>
            <w:tcW w:type="dxa" w:w="1793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3.081</w:t>
            </w:r>
          </w:p>
        </w:tc>
        <w:tc>
          <w:tcPr>
            <w:tcW w:type="dxa" w:w="2109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1783</w:t>
            </w:r>
          </w:p>
        </w:tc>
        <w:tc>
          <w:tcPr>
            <w:tcW w:type="dxa" w:w="1793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0.2260</w:t>
            </w:r>
          </w:p>
        </w:tc>
      </w:tr>
      <w:tr>
        <w:trPr>
          <w:cantSplit/>
        </w:trPr>
        <w:tc>
          <w:tcPr>
            <w:tcW w:type="dxa" w:w="4851"/>
            <w:vAlign w:val="center"/>
            <w:shd w:fill="F5F7F9"/>
          </w:tcPr>
          <w:p>
            <w:pPr>
              <w:pStyle w:val="ReportCell"/>
              <w:keepNext/>
              <w:jc w:val="left"/>
            </w:pPr>
            <w:r>
              <w:rPr>
                <w:b w:val="0"/>
              </w:rPr>
              <w:t>receptor（低／高）</w:t>
            </w:r>
          </w:p>
        </w:tc>
        <w:tc>
          <w:tcPr>
            <w:tcW w:type="dxa" w:w="1793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1.500</w:t>
            </w:r>
          </w:p>
        </w:tc>
        <w:tc>
          <w:tcPr>
            <w:tcW w:type="dxa" w:w="2109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2354</w:t>
            </w:r>
          </w:p>
        </w:tc>
        <w:tc>
          <w:tcPr>
            <w:tcW w:type="dxa" w:w="1793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0.1053</w:t>
            </w:r>
          </w:p>
        </w:tc>
      </w:tr>
      <w:tr>
        <w:trPr>
          <w:cantSplit/>
        </w:trPr>
        <w:tc>
          <w:tcPr>
            <w:tcW w:type="dxa" w:w="4851"/>
            <w:vAlign w:val="center"/>
            <w:shd w:fill="FFFFFF"/>
          </w:tcPr>
          <w:p>
            <w:pPr>
              <w:pStyle w:val="ReportCell"/>
              <w:keepNext/>
              <w:jc w:val="left"/>
            </w:pPr>
            <w:r>
              <w:rPr>
                <w:b w:val="0"/>
              </w:rPr>
              <w:t>MASLD（高／低）</w:t>
            </w:r>
          </w:p>
        </w:tc>
        <w:tc>
          <w:tcPr>
            <w:tcW w:type="dxa" w:w="1793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3.436</w:t>
            </w:r>
          </w:p>
        </w:tc>
        <w:tc>
          <w:tcPr>
            <w:tcW w:type="dxa" w:w="2109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110</w:t>
            </w:r>
          </w:p>
        </w:tc>
        <w:tc>
          <w:tcPr>
            <w:tcW w:type="dxa" w:w="1793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1.4357</w:t>
            </w:r>
          </w:p>
        </w:tc>
      </w:tr>
      <w:tr>
        <w:trPr>
          <w:cantSplit/>
        </w:trPr>
        <w:tc>
          <w:tcPr>
            <w:tcW w:type="dxa" w:w="4851"/>
            <w:vAlign w:val="center"/>
            <w:shd w:fill="F5F7F9"/>
          </w:tcPr>
          <w:p>
            <w:pPr>
              <w:pStyle w:val="ReportCell"/>
              <w:keepNext w:val="0"/>
              <w:jc w:val="left"/>
            </w:pPr>
            <w:r>
              <w:rPr>
                <w:b w:val="0"/>
              </w:rPr>
              <w:t>hypertension（低／低）</w:t>
            </w:r>
          </w:p>
        </w:tc>
        <w:tc>
          <w:tcPr>
            <w:tcW w:type="dxa" w:w="1793"/>
            <w:vAlign w:val="center"/>
            <w:shd w:fill="F5F7F9"/>
          </w:tcPr>
          <w:p>
            <w:pPr>
              <w:pStyle w:val="ReportCell"/>
              <w:keepNext w:val="0"/>
              <w:jc w:val="center"/>
            </w:pPr>
            <w:r>
              <w:rPr>
                <w:b w:val="0"/>
              </w:rPr>
              <w:t>1.407</w:t>
            </w:r>
          </w:p>
        </w:tc>
        <w:tc>
          <w:tcPr>
            <w:tcW w:type="dxa" w:w="2109"/>
            <w:vAlign w:val="center"/>
            <w:shd w:fill="F5F7F9"/>
          </w:tcPr>
          <w:p>
            <w:pPr>
              <w:pStyle w:val="ReportCell"/>
              <w:keepNext w:val="0"/>
              <w:jc w:val="center"/>
            </w:pPr>
            <w:r>
              <w:rPr>
                <w:b w:val="0"/>
              </w:rPr>
              <w:t>135</w:t>
            </w:r>
          </w:p>
        </w:tc>
        <w:tc>
          <w:tcPr>
            <w:tcW w:type="dxa" w:w="1793"/>
            <w:vAlign w:val="center"/>
            <w:shd w:fill="F5F7F9"/>
          </w:tcPr>
          <w:p>
            <w:pPr>
              <w:pStyle w:val="ReportCell"/>
              <w:keepNext w:val="0"/>
              <w:jc w:val="center"/>
            </w:pPr>
            <w:r>
              <w:rPr>
                <w:b w:val="0"/>
              </w:rPr>
              <w:t>1.3468</w:t>
            </w:r>
          </w:p>
        </w:tc>
      </w:tr>
    </w:tbl>
    <w:p>
      <w:pPr>
        <w:pStyle w:val="ReportSmall"/>
      </w:pPr>
      <w:r>
        <w:t>*平均 TF 僅計命中文件；TF 高者至少 3、低者至多 1.6；DF 高者至少 20%、低者至多 5%。Q01-Q04 依表中順序為單詞；Q05-Q10 依序為 1+2、1+3、1+4、2+3、2+4、3+4，每詞在查詢中只輸入一次。</w:t>
      </w:r>
    </w:p>
    <w:p>
      <w:pPr/>
      <w:r>
        <w:t>相關性以保存的 PubMed 主題詞、化學物質及關鍵字等建立二元參考；不足時回退摘要概念規則。單詞要求一個概念，配對要求兩概念皆成立。這是自動參考，非人工真值。</w:t>
      </w:r>
    </w:p>
    <w:p>
      <w:pPr>
        <w:pStyle w:val="Heading1"/>
      </w:pPr>
      <w:r>
        <w:t>十查詢平均結果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90" w:type="dxa"/>
          <w:right w:w="90" w:type="dxa"/>
        </w:tblCellMar>
      </w:tblPr>
      <w:tblGrid>
        <w:gridCol w:w="2953"/>
        <w:gridCol w:w="1898"/>
        <w:gridCol w:w="1898"/>
        <w:gridCol w:w="1898"/>
        <w:gridCol w:w="1898"/>
      </w:tblGrid>
      <w:tr>
        <w:trPr>
          <w:cantSplit/>
          <w:tblHeader/>
        </w:trPr>
        <w:tc>
          <w:tcPr>
            <w:tcW w:type="dxa" w:w="2953"/>
            <w:vAlign w:val="center"/>
            <w:shd w:fill="EAF2F4"/>
          </w:tcPr>
          <w:p>
            <w:pPr>
              <w:pStyle w:val="ReportCell"/>
              <w:keepNext/>
              <w:jc w:val="left"/>
            </w:pPr>
            <w:r>
              <w:rPr>
                <w:b/>
              </w:rPr>
              <w:t>方法</w:t>
            </w:r>
          </w:p>
        </w:tc>
        <w:tc>
          <w:tcPr>
            <w:tcW w:type="dxa" w:w="1898"/>
            <w:vAlign w:val="center"/>
            <w:shd w:fill="EAF2F4"/>
          </w:tcPr>
          <w:p>
            <w:pPr>
              <w:pStyle w:val="ReportCell"/>
              <w:keepNext/>
              <w:jc w:val="center"/>
            </w:pPr>
            <w:r>
              <w:rPr>
                <w:b/>
              </w:rPr>
              <w:t>P@10</w:t>
            </w:r>
          </w:p>
        </w:tc>
        <w:tc>
          <w:tcPr>
            <w:tcW w:type="dxa" w:w="1898"/>
            <w:vAlign w:val="center"/>
            <w:shd w:fill="EAF2F4"/>
          </w:tcPr>
          <w:p>
            <w:pPr>
              <w:pStyle w:val="ReportCell"/>
              <w:keepNext/>
              <w:jc w:val="center"/>
            </w:pPr>
            <w:r>
              <w:rPr>
                <w:b/>
              </w:rPr>
              <w:t>Recall@10*</w:t>
            </w:r>
          </w:p>
        </w:tc>
        <w:tc>
          <w:tcPr>
            <w:tcW w:type="dxa" w:w="1898"/>
            <w:vAlign w:val="center"/>
            <w:shd w:fill="EAF2F4"/>
          </w:tcPr>
          <w:p>
            <w:pPr>
              <w:pStyle w:val="ReportCell"/>
              <w:keepNext/>
              <w:jc w:val="center"/>
            </w:pPr>
            <w:r>
              <w:rPr>
                <w:b/>
              </w:rPr>
              <w:t>MRR</w:t>
            </w:r>
          </w:p>
        </w:tc>
        <w:tc>
          <w:tcPr>
            <w:tcW w:type="dxa" w:w="1898"/>
            <w:vAlign w:val="center"/>
            <w:shd w:fill="EAF2F4"/>
          </w:tcPr>
          <w:p>
            <w:pPr>
              <w:pStyle w:val="ReportCell"/>
              <w:keepNext/>
              <w:jc w:val="center"/>
            </w:pPr>
            <w:r>
              <w:rPr>
                <w:b/>
              </w:rPr>
              <w:t>nDCG@10</w:t>
            </w:r>
          </w:p>
        </w:tc>
      </w:tr>
      <w:tr>
        <w:trPr>
          <w:cantSplit/>
        </w:trPr>
        <w:tc>
          <w:tcPr>
            <w:tcW w:type="dxa" w:w="2953"/>
            <w:vAlign w:val="center"/>
            <w:shd w:fill="FFFFFF"/>
          </w:tcPr>
          <w:p>
            <w:pPr>
              <w:pStyle w:val="ReportCell"/>
              <w:keepNext/>
              <w:jc w:val="left"/>
            </w:pPr>
            <w:r>
              <w:rPr>
                <w:b w:val="0"/>
              </w:rPr>
              <w:t>TF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0.7000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0.0304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0.8037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0.7087</w:t>
            </w:r>
          </w:p>
        </w:tc>
      </w:tr>
      <w:tr>
        <w:trPr>
          <w:cantSplit/>
        </w:trPr>
        <w:tc>
          <w:tcPr>
            <w:tcW w:type="dxa" w:w="2953"/>
            <w:vAlign w:val="center"/>
            <w:shd w:fill="F5F7F9"/>
          </w:tcPr>
          <w:p>
            <w:pPr>
              <w:pStyle w:val="ReportCell"/>
              <w:keepNext/>
              <w:jc w:val="left"/>
            </w:pPr>
            <w:r>
              <w:rPr>
                <w:b w:val="0"/>
              </w:rPr>
              <w:t>Log TF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0.8800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0.0717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1.0000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0.9034</w:t>
            </w:r>
          </w:p>
        </w:tc>
      </w:tr>
      <w:tr>
        <w:trPr>
          <w:cantSplit/>
        </w:trPr>
        <w:tc>
          <w:tcPr>
            <w:tcW w:type="dxa" w:w="2953"/>
            <w:vAlign w:val="center"/>
            <w:shd w:fill="FFFFFF"/>
          </w:tcPr>
          <w:p>
            <w:pPr>
              <w:pStyle w:val="ReportCell"/>
              <w:keepNext/>
              <w:jc w:val="left"/>
            </w:pPr>
            <w:r>
              <w:rPr>
                <w:b w:val="0"/>
              </w:rPr>
              <w:t>IDF-only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0.8800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0.0905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0.9500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0.8895</w:t>
            </w:r>
          </w:p>
        </w:tc>
      </w:tr>
      <w:tr>
        <w:trPr>
          <w:cantSplit/>
        </w:trPr>
        <w:tc>
          <w:tcPr>
            <w:tcW w:type="dxa" w:w="2953"/>
            <w:vAlign w:val="center"/>
            <w:shd w:fill="F5F7F9"/>
          </w:tcPr>
          <w:p>
            <w:pPr>
              <w:pStyle w:val="ReportCell"/>
              <w:keepNext/>
              <w:jc w:val="left"/>
            </w:pPr>
            <w:r>
              <w:rPr>
                <w:b w:val="0"/>
              </w:rPr>
              <w:t>TF-IDF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0.8800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0.0436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0.9029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0.8857</w:t>
            </w:r>
          </w:p>
        </w:tc>
      </w:tr>
      <w:tr>
        <w:trPr>
          <w:cantSplit/>
        </w:trPr>
        <w:tc>
          <w:tcPr>
            <w:tcW w:type="dxa" w:w="2953"/>
            <w:vAlign w:val="center"/>
            <w:shd w:fill="FFFFFF"/>
          </w:tcPr>
          <w:p>
            <w:pPr>
              <w:pStyle w:val="ReportCell"/>
              <w:keepNext/>
              <w:jc w:val="left"/>
            </w:pPr>
            <w:r>
              <w:rPr>
                <w:b w:val="0"/>
              </w:rPr>
              <w:t>Log TF-IDF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0.8900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0.0636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0.8750</w:t>
            </w:r>
          </w:p>
        </w:tc>
        <w:tc>
          <w:tcPr>
            <w:tcW w:type="dxa" w:w="1898"/>
            <w:vAlign w:val="center"/>
            <w:shd w:fill="FFFFFF"/>
          </w:tcPr>
          <w:p>
            <w:pPr>
              <w:pStyle w:val="ReportCell"/>
              <w:keepNext/>
              <w:jc w:val="center"/>
            </w:pPr>
            <w:r>
              <w:rPr>
                <w:b w:val="0"/>
              </w:rPr>
              <w:t>0.8800</w:t>
            </w:r>
          </w:p>
        </w:tc>
      </w:tr>
      <w:tr>
        <w:trPr>
          <w:cantSplit/>
        </w:trPr>
        <w:tc>
          <w:tcPr>
            <w:tcW w:type="dxa" w:w="2953"/>
            <w:vAlign w:val="center"/>
            <w:shd w:fill="F5F7F9"/>
          </w:tcPr>
          <w:p>
            <w:pPr>
              <w:pStyle w:val="ReportCell"/>
              <w:keepNext w:val="0"/>
              <w:jc w:val="left"/>
            </w:pPr>
            <w:r>
              <w:rPr>
                <w:b w:val="0"/>
              </w:rPr>
              <w:t>BM25（補充）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 w:val="0"/>
              <w:jc w:val="center"/>
            </w:pPr>
            <w:r>
              <w:rPr>
                <w:b w:val="0"/>
              </w:rPr>
              <w:t>0.9400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 w:val="0"/>
              <w:jc w:val="center"/>
            </w:pPr>
            <w:r>
              <w:rPr>
                <w:b w:val="0"/>
              </w:rPr>
              <w:t>0.0944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 w:val="0"/>
              <w:jc w:val="center"/>
            </w:pPr>
            <w:r>
              <w:rPr>
                <w:b w:val="0"/>
              </w:rPr>
              <w:t>1.0000</w:t>
            </w:r>
          </w:p>
        </w:tc>
        <w:tc>
          <w:tcPr>
            <w:tcW w:type="dxa" w:w="1898"/>
            <w:vAlign w:val="center"/>
            <w:shd w:fill="F5F7F9"/>
          </w:tcPr>
          <w:p>
            <w:pPr>
              <w:pStyle w:val="ReportCell"/>
              <w:keepNext w:val="0"/>
              <w:jc w:val="center"/>
            </w:pPr>
            <w:r>
              <w:rPr>
                <w:b w:val="0"/>
              </w:rPr>
              <w:t>0.9576</w:t>
            </w:r>
          </w:p>
        </w:tc>
      </w:tr>
    </w:tbl>
    <w:p>
      <w:pPr>
        <w:pStyle w:val="ReportSmall"/>
      </w:pPr>
      <w:r>
        <w:t>*k=10，納入10/10查詢；Recall 僅相對於規則正例集合；P@10 分母固定 10，MRR 用完整非零排名，nDCG 採二元相關性。</w:t>
      </w:r>
    </w:p>
    <w:p>
      <w:pPr>
        <w:pStyle w:val="Heading1"/>
      </w:pPr>
      <w:r>
        <w:t>研究問題與實作發現</w:t>
      </w:r>
    </w:p>
    <w:p>
      <w:pPr/>
      <w:r/>
      <w:r>
        <w:rPr>
          <w:b/>
          <w:sz w:val="23"/>
        </w:rPr>
        <w:t>RQ1｜原始 TF 與 Log TF 如何影響權重？</w:t>
      </w:r>
      <w:r>
        <w:t xml:space="preserve"> TF 線性計次，Log TF 壓縮重複詞，如 f=1、3、10 時為 1、1.4771、2。Q07「GLP-1 hypertension」P@10 由 TF 的 0.10 提升至 Log TF 的 0.60。</w:t>
      </w:r>
    </w:p>
    <w:p>
      <w:pPr/>
      <w:r/>
      <w:r>
        <w:rPr>
          <w:b/>
          <w:sz w:val="23"/>
        </w:rPr>
        <w:t>RQ2｜IDF 為何降低常見詞的重要性？</w:t>
      </w:r>
      <w:r>
        <w:t xml:space="preserve"> DF 越高，log10(N/DF) 越小。receptor 的 IDF 僅 0.1053，MASLD 為 1.4357；後者較能區分本語料的文件，此權重不代表醫學重要性。</w:t>
      </w:r>
    </w:p>
    <w:p>
      <w:pPr/>
      <w:r/>
      <w:r>
        <w:rPr>
          <w:b/>
          <w:sz w:val="23"/>
        </w:rPr>
        <w:t>RQ3｜TF-IDF 是否優於單用 TF 或 IDF？</w:t>
      </w:r>
      <w:r>
        <w:t xml:space="preserve"> 不一定。Q07 的 TF／IDF-only／TF-IDF P@10 為 0.10／0.90／1.00；但 Q10「MASLD hypertension」TF-IDF 為 0.00，IDF-only 為 0.50。詞頻與稀有性結合仍受查詢及文件完整 norm 影響。</w:t>
      </w:r>
    </w:p>
    <w:p>
      <w:pPr/>
      <w:r/>
      <w:r>
        <w:rPr>
          <w:b/>
          <w:sz w:val="23"/>
        </w:rPr>
        <w:t>RQ4｜需要 L2 正規化嗎？排名有何差異？</w:t>
      </w:r>
      <w:r>
        <w:t xml:space="preserve"> cosine 已除向量長度，無須另做顯式 L2 才能消除整體尺度。僅文件 L2、查詢保持不變的 50 組比較，排名全相同，最大分數差 2.22e-16。raw dot 會受向量長度影響，是另一種 scoring；BM25 不套用此 L2 檢查。</w:t>
      </w:r>
    </w:p>
    <w:p>
      <w:pPr/>
      <w:r/>
      <w:r>
        <w:rPr>
          <w:b/>
          <w:sz w:val="23"/>
        </w:rPr>
        <w:t>RQ5｜不同方法如何影響評估指標？</w:t>
      </w:r>
      <w:r>
        <w:t xml:space="preserve"> 依上表，五種向量方法中，Log TF-IDF 的 P@10 最高（0.89），Log TF 的 MRR（1.00）與 nDCG@10（0.9034）最高；補充 BM25 的 P@10（0.94）與 nDCG@10（0.9576）最高。優劣隨指標與查詢改變，不能推論某方法永遠最佳。</w:t>
      </w:r>
    </w:p>
    <w:p>
      <w:pPr>
        <w:pStyle w:val="Heading1"/>
      </w:pPr>
      <w:r>
        <w:t>限制與重現</w:t>
      </w:r>
    </w:p>
    <w:p>
      <w:pPr>
        <w:pStyle w:val="ReportSmall"/>
      </w:pPr>
      <w:r>
        <w:t>概念共現不保證研究關係，詞彙回退可能偏向詞面方法；Q10 的 10 個參考正例全來自規則回退。單詞與配對的資訊需求及正例數不同，差異不能只歸因查詢長度。在此固定語料與自動參考下可比較方法，真實效度仍需獨立人工驗證。</w:t>
      </w:r>
    </w:p>
    <w:p>
      <w:pPr>
        <w:pStyle w:val="ReportSmall"/>
      </w:pPr>
      <w:r>
        <w:t>來源：主實驗 20261026T105101.015941Z-12d17bd6；CSV、標籤與來源 SHA256 已核對。NumPy 獨立核對 900,000 個 cosine，最大誤差 1.11e-16；完整指標與驗證紀錄見隨附 audit。</w:t>
      </w:r>
    </w:p>
    <w:sectPr w:rsidR="00FC693F" w:rsidRPr="0006063C" w:rsidSect="00034616">
      <w:pgSz w:w="11906" w:h="16838"/>
      <w:pgMar w:top="567" w:right="680" w:bottom="567" w:left="680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6" w:lineRule="exact" w:after="66" w:before="0"/>
      <w:snapToGrid w:val="0"/>
      <w:contextualSpacing w:val="0"/>
    </w:pPr>
    <w:rPr>
      <w:rFonts w:ascii="Microsoft JhengHei" w:hAnsi="Microsoft JhengHei" w:eastAsia="Microsoft JhengHei" w:cs="Microsoft Jheng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60" w:line="280" w:lineRule="exact"/>
      <w:outlineLvl w:val="0"/>
      <w:snapToGrid w:val="0"/>
      <w:contextualSpacing w:val="0"/>
    </w:pPr>
    <w:rPr>
      <w:rFonts w:ascii="Microsoft JhengHei" w:hAnsi="Microsoft JhengHei" w:eastAsia="Microsoft JhengHei" w:cs="Microsoft JhengHe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440" w:lineRule="exact" w:before="0"/>
      <w:contextualSpacing/>
      <w:snapToGrid w:val="0"/>
      <w:contextualSpacing w:val="0"/>
    </w:pPr>
    <w:rPr>
      <w:rFonts w:ascii="Microsoft JhengHei" w:hAnsi="Microsoft JhengHei" w:eastAsia="Microsoft JhengHei" w:cs="Microsoft JhengHe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line="220" w:lineRule="exact" w:before="0" w:after="60"/>
      <w:snapToGrid w:val="0"/>
      <w:contextualSpacing w:val="0"/>
    </w:pPr>
    <w:rPr>
      <w:rFonts w:ascii="Microsoft JhengHei" w:hAnsi="Microsoft JhengHei" w:eastAsia="Microsoft JhengHei" w:cs="Microsoft JhengHei"/>
      <w:b w:val="0"/>
      <w:i/>
      <w:iCs/>
      <w:color w:val="000000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mall">
    <w:name w:val="Report Small"/>
    <w:basedOn w:val="Normal"/>
    <w:pPr>
      <w:spacing w:line="216" w:lineRule="exact" w:after="60"/>
      <w:snapToGrid w:val="0"/>
      <w:contextualSpacing w:val="0"/>
    </w:pPr>
    <w:rPr>
      <w:rFonts w:ascii="Microsoft JhengHei" w:hAnsi="Microsoft JhengHei" w:eastAsia="Microsoft JhengHei" w:cs="Microsoft JhengHei"/>
      <w:b w:val="0"/>
      <w:color w:val="000000"/>
      <w:sz w:val="18"/>
    </w:rPr>
  </w:style>
  <w:style w:type="paragraph" w:customStyle="1" w:styleId="ReportCell">
    <w:name w:val="Report Cell"/>
    <w:basedOn w:val="Normal"/>
    <w:pPr>
      <w:spacing w:line="228" w:lineRule="exact" w:after="0"/>
      <w:snapToGrid w:val="0"/>
      <w:contextualSpacing w:val="0"/>
    </w:pPr>
    <w:rPr>
      <w:rFonts w:ascii="Microsoft JhengHei" w:hAnsi="Microsoft JhengHei" w:eastAsia="Microsoft JhengHei" w:cs="Microsoft JhengHei"/>
      <w:b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PubMed 生醫摘要檢索詞項權重比較</dc:title>
  <dc:subject>Biomedical IR HW3 one-page report RQ1-RQ5</dc:subject>
  <dc:creator>唐懷毅</dc:creator>
  <cp:keywords>TF IDF cosine BM25 GLP-1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