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GEC Academy</w:t>
      </w:r>
    </w:p>
    <w:p>
      <w:pPr>
        <w:jc w:val="center"/>
      </w:pPr>
      <w:r>
        <w:t>Online Research Seminar</w:t>
      </w:r>
    </w:p>
    <w:p/>
    <w:p>
      <w:r>
        <w:t>Name: ______________________________    Date: __________________</w:t>
      </w:r>
    </w:p>
    <w:p>
      <w:r>
        <w:t xml:space="preserve">                         (last name, first name)</w:t>
      </w:r>
    </w:p>
    <w:p>
      <w:r>
        <w:t>Email Address: _________________________________________________</w:t>
      </w:r>
    </w:p>
    <w:p/>
    <w:p>
      <w:pPr>
        <w:pStyle w:val="Title"/>
        <w:jc w:val="center"/>
      </w:pPr>
      <w:r>
        <w:t>Assignment / Lab #2</w:t>
      </w:r>
    </w:p>
    <w:p>
      <w:pPr>
        <w:jc w:val="center"/>
      </w:pPr>
      <w:r>
        <w:t>Introduction to Ethereum and Cloud Blockchain Solutions Engineering</w:t>
      </w:r>
    </w:p>
    <w:p>
      <w:pPr>
        <w:jc w:val="center"/>
      </w:pPr>
      <w:r>
        <w:t>Instructor: Jean-Claude Franchitti    |    Session 2</w:t>
      </w:r>
    </w:p>
    <w:p/>
    <w:p>
      <w:pPr>
        <w:pStyle w:val="FixedQuestion"/>
      </w:pPr>
      <w:r>
        <w:t>Statement of Effort and AI Assistance</w:t>
      </w:r>
    </w:p>
    <w:p>
      <w:r>
        <w:t>I disclose the use of ChatGPT/Codex to interpret the assignment, draft explanations, develop and revise the accompanying code, and assist with automated local testing and document preparation. The supplied tutorial and software sources are acknowledged. The report distinguishes local mock tests from public-network deployment and does not claim that unperformed deployment steps were completed. I take responsibility for the work I submit and for following the course policy on permitted assistance.</w:t>
      </w:r>
    </w:p>
    <w:p>
      <w:r>
        <w:t>My own review, changes, and additional testing:</w:t>
      </w:r>
    </w:p>
    <w:p>
      <w:r>
        <w:t>________________________________________________________________</w:t>
      </w:r>
    </w:p>
    <w:p>
      <w:r>
        <w:t>________________________________________________________________</w:t>
      </w:r>
    </w:p>
    <w:p>
      <w:r>
        <w:t>Signature: __________________________    Date: __________________</w:t>
      </w:r>
    </w:p>
    <w:p/>
    <w:p>
      <w:r>
        <w:t>Total in points (100 points total): ______________________________</w:t>
      </w:r>
    </w:p>
    <w:p>
      <w:r>
        <w:t>Professor’s Comments:</w:t>
      </w:r>
    </w:p>
    <w:p>
      <w:pPr>
        <w:pStyle w:val="FixedSection"/>
        <w:pageBreakBefore/>
      </w:pPr>
      <w:r>
        <w:t>Part I  Smart contract use cases</w:t>
      </w:r>
    </w:p>
    <w:p>
      <w:r>
        <w:t>The answers below follow the original question numbering. Lecture examples are separated from additional applications. Network-specific addresses and gas-cost assumptions are stated explicitly.</w:t>
      </w:r>
    </w:p>
    <w:p>
      <w:pPr>
        <w:pStyle w:val="FixedQuestion"/>
      </w:pPr>
      <w:r>
        <w:t>1(a) Describe example use cases of smart contracts mentioned in the lecture.</w:t>
      </w:r>
    </w:p>
    <w:p>
      <w:r>
        <w:t>The lecture lists four categories on slide 2-30 of Ethereum DApps And Related Tools Primer [1].</w:t>
      </w:r>
    </w:p>
    <w:p>
      <w:r>
        <w:t>Token systems: a contract keeps token balances and implements rules for transfers, issuance, and allowances. Tokens may represent utility, voting rights, or other assets. The lecture also discusses their historical use in initial coin offerings; not every token is a share of a company.</w:t>
      </w:r>
    </w:p>
    <w:p>
      <w:r>
        <w:t>Identity and reputation systems: contracts can record identifiers, authorizations, or attestations so that applications can verify claims about an identity. The lecture gives uPort as an example. Sensitive personal data should not simply be published on-chain.</w:t>
      </w:r>
    </w:p>
    <w:p>
      <w:r>
        <w:t>Decentralized autonomous organizations (DAOs): members make collective decisions under rules implemented by contracts. An approved proposal can authorize a treasury transfer or a change to a protocol. The lecture relates this idea to multisignature wallets.</w:t>
      </w:r>
    </w:p>
    <w:p>
      <w:r>
        <w:t>Election and voting systems: contracts can record votes and enforce eligibility and a one-vote-per-address rule. The blockchain makes recorded votes auditable. One address is not automatically one person, so a real election also needs identity and privacy safeguards.</w:t>
      </w:r>
    </w:p>
    <w:p>
      <w:pPr>
        <w:pStyle w:val="FixedQuestion"/>
      </w:pPr>
      <w:r>
        <w:t>1(b) There are many use cases for smart contracts. Think of three more and explain them.</w:t>
      </w:r>
    </w:p>
    <w:p>
      <w:r>
        <w:t>1. Decentralized exchange: a contract manages a liquidity pool and applies a pricing rule to exchange tokens. A swap can execute atomically: either the required transfers succeed together or the transaction reverts. Uniswap is an example.</w:t>
      </w:r>
    </w:p>
    <w:p>
      <w:r>
        <w:t>2. Collateralized lending: a contract tracks supplied assets, loans, interest, and collateral. Borrowing is limited by collateral rules, and an undercollateralized position can be liquidated. Aave is an example; price-oracle assumptions remain important.</w:t>
      </w:r>
    </w:p>
    <w:p>
      <w:r>
        <w:t>3. Conditional crowdfunding and escrow: a contract accepts contributions until a deadline. It can release funds when a stated target is met or allow refunds if the campaign fails. If release depends on a real-world delivery milestone, an agreed oracle or dispute process is still required.</w:t>
      </w:r>
    </w:p>
    <w:p>
      <w:pPr>
        <w:pStyle w:val="FixedSection"/>
        <w:pageBreakBefore/>
      </w:pPr>
      <w:r>
        <w:t>Part I  Mainnet contract examples</w:t>
      </w:r>
    </w:p>
    <w:p>
      <w:pPr>
        <w:pStyle w:val="FixedQuestion"/>
      </w:pPr>
      <w:r>
        <w:t>1(c) Find concrete addresses of contracts for five of the use cases you identified above on the Ethereum mainnet. Explain briefly why a contract falls into a specific category.</w:t>
      </w:r>
    </w:p>
    <w:p>
      <w:r>
        <w:t>All five addresses below refer to Ethereum mainnet, chain ID 1. They are examples for identification, not destinations for sending funds. The listed addresses were checked against the linked project deployment sources [2–5]. Explorer links are included for inspection.</w:t>
      </w:r>
    </w:p>
    <w:p>
      <w:pPr>
        <w:pStyle w:val="FixedQuestion"/>
      </w:pPr>
      <w:r>
        <w:t>UNI token  Token systems from 1(a)</w:t>
      </w:r>
    </w:p>
    <w:p>
      <w:r>
        <w:rPr>
          <w:rFonts w:ascii="Consolas" w:hAnsi="Consolas"/>
          <w:sz w:val="18"/>
        </w:rPr>
        <w:t>0x1f9840a85d5aF5bf1D1762F925BDADdC4201F984</w:t>
      </w:r>
    </w:p>
    <w:p>
      <w:r>
        <w:t>UNI is an ERC-20 token. Its contract records balances, transfers and delegated voting power, so it is a concrete token-system example. [2]</w:t>
      </w:r>
    </w:p>
    <w:p>
      <w:r>
        <w:rPr>
          <w:sz w:val="18"/>
        </w:rPr>
        <w:t>https://etherscan.io/address/0x1f9840a85d5aF5bf1D1762F925BDADdC4201F984</w:t>
      </w:r>
    </w:p>
    <w:p>
      <w:pPr>
        <w:pStyle w:val="FixedQuestion"/>
      </w:pPr>
      <w:r>
        <w:t>ENS Registry  Identity systems from 1(a)</w:t>
      </w:r>
    </w:p>
    <w:p>
      <w:r>
        <w:rPr>
          <w:rFonts w:ascii="Consolas" w:hAnsi="Consolas"/>
          <w:sz w:val="18"/>
        </w:rPr>
        <w:t>0x00000000000C2E074eC69A0dFb2997BA6C7d2e1e</w:t>
      </w:r>
    </w:p>
    <w:p>
      <w:r>
        <w:t>The registry records name ownership and resolver references. Together with resolvers, it supports human-readable identifiers linked to blockchain records. This is naming-based digital identity, not proof of a person’s legal identity. [3]</w:t>
      </w:r>
    </w:p>
    <w:p>
      <w:r>
        <w:rPr>
          <w:sz w:val="18"/>
        </w:rPr>
        <w:t>https://etherscan.io/address/0x00000000000C2E074eC69A0dFb2997BA6C7d2e1e</w:t>
      </w:r>
    </w:p>
    <w:p>
      <w:pPr>
        <w:pStyle w:val="FixedQuestion"/>
      </w:pPr>
      <w:r>
        <w:t>Uniswap GovernorBravo  DAO governance from 1(a)</w:t>
      </w:r>
    </w:p>
    <w:p>
      <w:r>
        <w:rPr>
          <w:rFonts w:ascii="Consolas" w:hAnsi="Consolas"/>
          <w:sz w:val="18"/>
        </w:rPr>
        <w:t>0x408ED6354d4973f66138C91495F2f2FCbd8724C3</w:t>
      </w:r>
    </w:p>
    <w:p>
      <w:r>
        <w:t>The governance contract processes proposals and votes and works with the timelock to execute approved actions. It therefore implements DAO decision-making rather than merely holding a governance token. [2]</w:t>
      </w:r>
    </w:p>
    <w:p>
      <w:r>
        <w:rPr>
          <w:sz w:val="18"/>
        </w:rPr>
        <w:t>https://etherscan.io/address/0x408ED6354d4973f66138C91495F2f2FCbd8724C3</w:t>
      </w:r>
    </w:p>
    <w:p>
      <w:pPr>
        <w:pStyle w:val="FixedQuestion"/>
      </w:pPr>
      <w:r>
        <w:t>Uniswap V2 Router02  Decentralized exchange from 1(b)</w:t>
      </w:r>
    </w:p>
    <w:p>
      <w:r>
        <w:rPr>
          <w:rFonts w:ascii="Consolas" w:hAnsi="Consolas"/>
          <w:sz w:val="18"/>
        </w:rPr>
        <w:t>0x7a250d5630B4cF539739dF2C5dAcb4c659F2488D</w:t>
      </w:r>
    </w:p>
    <w:p>
      <w:r>
        <w:t>The router coordinates swaps and liquidity operations with Uniswap V2 pair contracts. It belongs to the exchange category; the liquidity reserves are held in pairs, not in the router itself. [4]</w:t>
      </w:r>
    </w:p>
    <w:p>
      <w:r>
        <w:rPr>
          <w:sz w:val="18"/>
        </w:rPr>
        <w:t>https://etherscan.io/address/0x7a250d5630B4cF539739dF2C5dAcb4c659F2488D</w:t>
      </w:r>
    </w:p>
    <w:p>
      <w:pPr>
        <w:pStyle w:val="FixedQuestion"/>
      </w:pPr>
      <w:r>
        <w:t>Aave V3 Ethereum Pool  Collateralized lending from 1(b)</w:t>
      </w:r>
    </w:p>
    <w:p>
      <w:r>
        <w:rPr>
          <w:rFonts w:ascii="Consolas" w:hAnsi="Consolas"/>
          <w:sz w:val="18"/>
        </w:rPr>
        <w:t>0x87870Bca3F3fD6335C3F4ce8392D69350B4fA4E2</w:t>
      </w:r>
    </w:p>
    <w:p>
      <w:r>
        <w:t>This is the Pool proxy for the Aave V3 Ethereum market. It is an entry point for supply, borrowing, repayment, withdrawal and liquidation, so it implements lending-market functions. [5]</w:t>
      </w:r>
    </w:p>
    <w:p>
      <w:r>
        <w:rPr>
          <w:sz w:val="18"/>
        </w:rPr>
        <w:t>https://etherscan.io/address/0x87870Bca3F3fD6335C3F4ce8392D69350B4fA4E2</w:t>
      </w:r>
    </w:p>
    <w:p>
      <w:pPr>
        <w:pStyle w:val="FixedSection"/>
        <w:pageBreakBefore/>
      </w:pPr>
      <w:r>
        <w:t>Part I  Gas and instruction costs</w:t>
      </w:r>
    </w:p>
    <w:p>
      <w:pPr>
        <w:pStyle w:val="FixedQuestion"/>
      </w:pPr>
      <w:r>
        <w:t>2(a) What is gas in the context of Ethereum?</w:t>
      </w:r>
    </w:p>
    <w:p>
      <w:r>
        <w:t>Gas is a unit for measuring execution work and other metered resources used by an Ethereum transaction, including computation and storage operations. It is not a separate token. The sender pays the fee in ETH; a gas price is the ETH price per gas unit. Metering limits execution and makes resource consumption costly, which helps prevent spam and endless computation. [6]</w:t>
      </w:r>
    </w:p>
    <w:p>
      <w:pPr>
        <w:pStyle w:val="FixedQuestion"/>
      </w:pPr>
      <w:r>
        <w:t>2(b) What happens with spare gas if too much gas was provided for a transaction?</w:t>
      </w:r>
    </w:p>
    <w:p>
      <w:r>
        <w:t>A gas limit is a ceiling, not an amount that must be consumed. Gas units left unused are not charged; any corresponding prepaid fee is returned in transaction accounting. For example, if the limit is 100,000 and the charged usage is 60,000, the fee is based on 60,000, not 100,000. This is different from choosing an unnecessarily high price per gas. A revert can preserve unused gas, while a top-level out-of-gas failure exhausts the execution gas available to it. [6]</w:t>
      </w:r>
    </w:p>
    <w:p>
      <w:pPr>
        <w:pStyle w:val="FixedQuestion"/>
      </w:pPr>
      <w:r>
        <w:t>2(c) Rank the following EVM instructions by their gas cost. Note: the CREATE instruction creates a new smart contract.</w:t>
      </w:r>
    </w:p>
    <w:p>
      <w:r>
        <w:t>Instructions in the question: SHA3; PUSH4 0x00000000; SELFDESTRUCT (if no new account is created); JUMP; CREATE; CALL; PUSH1 0xff; STOP.</w:t>
      </w:r>
    </w:p>
    <w:p>
      <w:r>
        <w:t>Using the conventional post-EIP-150, pre-Berlin base-cost table and excluding dynamic charges, the ascending order is: [7, 8]</w:t>
      </w:r>
    </w:p>
    <w:p>
      <w:r>
        <w:rPr>
          <w:rFonts w:ascii="Consolas" w:hAnsi="Consolas"/>
          <w:sz w:val="18"/>
        </w:rPr>
        <w:t>STOP &lt; PUSH1 0xff = PUSH4 0x00000000 &lt; JUMP</w:t>
        <w:br/>
        <w:t xml:space="preserve">     &lt; SHA3 &lt; CALL &lt; SELFDESTRUCT &lt; CREATE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464"/>
      </w:tblGrid>
      <w:tr>
        <w:tc>
          <w:tcPr>
            <w:tcW w:type="dxa" w:w="5328"/>
            <w:tcMar>
              <w:top w:w="85" w:type="dxa"/>
              <w:left w:w="85" w:type="dxa"/>
              <w:bottom w:w="85" w:type="dxa"/>
              <w:right w:w="85" w:type="dxa"/>
            </w:tcMar>
            <w:shd w:fill="E8ECEA"/>
          </w:tcPr>
          <w:p>
            <w:pPr>
              <w:spacing w:after="40"/>
            </w:pPr>
            <w:r>
              <w:rPr>
                <w:b/>
                <w:sz w:val="20"/>
              </w:rPr>
              <w:t>Instruction</w:t>
            </w:r>
          </w:p>
        </w:tc>
        <w:tc>
          <w:tcPr>
            <w:tcW w:type="dxa" w:w="4464"/>
            <w:tcMar>
              <w:top w:w="85" w:type="dxa"/>
              <w:left w:w="85" w:type="dxa"/>
              <w:bottom w:w="85" w:type="dxa"/>
              <w:right w:w="85" w:type="dxa"/>
            </w:tcMar>
            <w:shd w:fill="E8ECEA"/>
          </w:tcPr>
          <w:p>
            <w:pPr>
              <w:spacing w:after="40"/>
            </w:pPr>
            <w:r>
              <w:rPr>
                <w:b/>
                <w:sz w:val="20"/>
              </w:rPr>
              <w:t>Base gas in this comparison</w:t>
            </w:r>
          </w:p>
        </w:tc>
      </w:tr>
      <w:tr>
        <w:tc>
          <w:tcPr>
            <w:tcW w:type="dxa" w:w="5328"/>
            <w:tcMar>
              <w:top w:w="85" w:type="dxa"/>
              <w:left w:w="85" w:type="dxa"/>
              <w:bottom w:w="85" w:type="dxa"/>
              <w:right w:w="85" w:type="dxa"/>
            </w:tcMar>
          </w:tcPr>
          <w:p>
            <w:pPr>
              <w:spacing w:after="40"/>
            </w:pPr>
            <w:r>
              <w:rPr>
                <w:sz w:val="20"/>
              </w:rPr>
              <w:t>STOP</w:t>
            </w:r>
          </w:p>
        </w:tc>
        <w:tc>
          <w:tcPr>
            <w:tcW w:type="dxa" w:w="4464"/>
            <w:tcMar>
              <w:top w:w="85" w:type="dxa"/>
              <w:left w:w="85" w:type="dxa"/>
              <w:bottom w:w="85" w:type="dxa"/>
              <w:right w:w="85" w:type="dxa"/>
            </w:tcMar>
          </w:tcPr>
          <w:p>
            <w:pPr>
              <w:spacing w:after="40"/>
            </w:pPr>
            <w:r>
              <w:rPr>
                <w:sz w:val="20"/>
              </w:rPr>
              <w:t>0</w:t>
            </w:r>
          </w:p>
        </w:tc>
      </w:tr>
      <w:tr>
        <w:tc>
          <w:tcPr>
            <w:tcW w:type="dxa" w:w="5328"/>
            <w:tcMar>
              <w:top w:w="85" w:type="dxa"/>
              <w:left w:w="85" w:type="dxa"/>
              <w:bottom w:w="85" w:type="dxa"/>
              <w:right w:w="85" w:type="dxa"/>
            </w:tcMar>
          </w:tcPr>
          <w:p>
            <w:pPr>
              <w:spacing w:after="40"/>
            </w:pPr>
            <w:r>
              <w:rPr>
                <w:sz w:val="20"/>
              </w:rPr>
              <w:t>PUSH1 0xff and PUSH4 0x00000000</w:t>
            </w:r>
          </w:p>
        </w:tc>
        <w:tc>
          <w:tcPr>
            <w:tcW w:type="dxa" w:w="4464"/>
            <w:tcMar>
              <w:top w:w="85" w:type="dxa"/>
              <w:left w:w="85" w:type="dxa"/>
              <w:bottom w:w="85" w:type="dxa"/>
              <w:right w:w="85" w:type="dxa"/>
            </w:tcMar>
          </w:tcPr>
          <w:p>
            <w:pPr>
              <w:spacing w:after="40"/>
            </w:pPr>
            <w:r>
              <w:rPr>
                <w:sz w:val="20"/>
              </w:rPr>
              <w:t>3 each</w:t>
            </w:r>
          </w:p>
        </w:tc>
      </w:tr>
      <w:tr>
        <w:tc>
          <w:tcPr>
            <w:tcW w:type="dxa" w:w="5328"/>
            <w:tcMar>
              <w:top w:w="85" w:type="dxa"/>
              <w:left w:w="85" w:type="dxa"/>
              <w:bottom w:w="85" w:type="dxa"/>
              <w:right w:w="85" w:type="dxa"/>
            </w:tcMar>
          </w:tcPr>
          <w:p>
            <w:pPr>
              <w:spacing w:after="40"/>
            </w:pPr>
            <w:r>
              <w:rPr>
                <w:sz w:val="20"/>
              </w:rPr>
              <w:t>JUMP</w:t>
            </w:r>
          </w:p>
        </w:tc>
        <w:tc>
          <w:tcPr>
            <w:tcW w:type="dxa" w:w="4464"/>
            <w:tcMar>
              <w:top w:w="85" w:type="dxa"/>
              <w:left w:w="85" w:type="dxa"/>
              <w:bottom w:w="85" w:type="dxa"/>
              <w:right w:w="85" w:type="dxa"/>
            </w:tcMar>
          </w:tcPr>
          <w:p>
            <w:pPr>
              <w:spacing w:after="40"/>
            </w:pPr>
            <w:r>
              <w:rPr>
                <w:sz w:val="20"/>
              </w:rPr>
              <w:t>8</w:t>
            </w:r>
          </w:p>
        </w:tc>
      </w:tr>
      <w:tr>
        <w:tc>
          <w:tcPr>
            <w:tcW w:type="dxa" w:w="5328"/>
            <w:tcMar>
              <w:top w:w="85" w:type="dxa"/>
              <w:left w:w="85" w:type="dxa"/>
              <w:bottom w:w="85" w:type="dxa"/>
              <w:right w:w="85" w:type="dxa"/>
            </w:tcMar>
          </w:tcPr>
          <w:p>
            <w:pPr>
              <w:spacing w:after="40"/>
            </w:pPr>
            <w:r>
              <w:rPr>
                <w:sz w:val="20"/>
              </w:rPr>
              <w:t>SHA3 (Keccak-256)</w:t>
            </w:r>
          </w:p>
        </w:tc>
        <w:tc>
          <w:tcPr>
            <w:tcW w:type="dxa" w:w="4464"/>
            <w:tcMar>
              <w:top w:w="85" w:type="dxa"/>
              <w:left w:w="85" w:type="dxa"/>
              <w:bottom w:w="85" w:type="dxa"/>
              <w:right w:w="85" w:type="dxa"/>
            </w:tcMar>
          </w:tcPr>
          <w:p>
            <w:pPr>
              <w:spacing w:after="40"/>
            </w:pPr>
            <w:r>
              <w:rPr>
                <w:sz w:val="20"/>
              </w:rPr>
              <w:t>30</w:t>
            </w:r>
          </w:p>
        </w:tc>
      </w:tr>
      <w:tr>
        <w:tc>
          <w:tcPr>
            <w:tcW w:type="dxa" w:w="5328"/>
            <w:tcMar>
              <w:top w:w="85" w:type="dxa"/>
              <w:left w:w="85" w:type="dxa"/>
              <w:bottom w:w="85" w:type="dxa"/>
              <w:right w:w="85" w:type="dxa"/>
            </w:tcMar>
          </w:tcPr>
          <w:p>
            <w:pPr>
              <w:spacing w:after="40"/>
            </w:pPr>
            <w:r>
              <w:rPr>
                <w:sz w:val="20"/>
              </w:rPr>
              <w:t>CALL</w:t>
            </w:r>
          </w:p>
        </w:tc>
        <w:tc>
          <w:tcPr>
            <w:tcW w:type="dxa" w:w="4464"/>
            <w:tcMar>
              <w:top w:w="85" w:type="dxa"/>
              <w:left w:w="85" w:type="dxa"/>
              <w:bottom w:w="85" w:type="dxa"/>
              <w:right w:w="85" w:type="dxa"/>
            </w:tcMar>
          </w:tcPr>
          <w:p>
            <w:pPr>
              <w:spacing w:after="40"/>
            </w:pPr>
            <w:r>
              <w:rPr>
                <w:sz w:val="20"/>
              </w:rPr>
              <w:t>700 in the legacy schedule</w:t>
            </w:r>
          </w:p>
        </w:tc>
      </w:tr>
      <w:tr>
        <w:tc>
          <w:tcPr>
            <w:tcW w:type="dxa" w:w="5328"/>
            <w:tcMar>
              <w:top w:w="85" w:type="dxa"/>
              <w:left w:w="85" w:type="dxa"/>
              <w:bottom w:w="85" w:type="dxa"/>
              <w:right w:w="85" w:type="dxa"/>
            </w:tcMar>
          </w:tcPr>
          <w:p>
            <w:pPr>
              <w:spacing w:after="40"/>
            </w:pPr>
            <w:r>
              <w:rPr>
                <w:sz w:val="20"/>
              </w:rPr>
              <w:t>SELFDESTRUCT without a new account</w:t>
            </w:r>
          </w:p>
        </w:tc>
        <w:tc>
          <w:tcPr>
            <w:tcW w:type="dxa" w:w="4464"/>
            <w:tcMar>
              <w:top w:w="85" w:type="dxa"/>
              <w:left w:w="85" w:type="dxa"/>
              <w:bottom w:w="85" w:type="dxa"/>
              <w:right w:w="85" w:type="dxa"/>
            </w:tcMar>
          </w:tcPr>
          <w:p>
            <w:pPr>
              <w:spacing w:after="40"/>
            </w:pPr>
            <w:r>
              <w:rPr>
                <w:sz w:val="20"/>
              </w:rPr>
              <w:t>5,000</w:t>
            </w:r>
          </w:p>
        </w:tc>
      </w:tr>
      <w:tr>
        <w:tc>
          <w:tcPr>
            <w:tcW w:type="dxa" w:w="5328"/>
            <w:tcMar>
              <w:top w:w="85" w:type="dxa"/>
              <w:left w:w="85" w:type="dxa"/>
              <w:bottom w:w="85" w:type="dxa"/>
              <w:right w:w="85" w:type="dxa"/>
            </w:tcMar>
          </w:tcPr>
          <w:p>
            <w:pPr>
              <w:spacing w:after="40"/>
            </w:pPr>
            <w:r>
              <w:rPr>
                <w:sz w:val="20"/>
              </w:rPr>
              <w:t>CREATE</w:t>
            </w:r>
          </w:p>
        </w:tc>
        <w:tc>
          <w:tcPr>
            <w:tcW w:type="dxa" w:w="4464"/>
            <w:tcMar>
              <w:top w:w="85" w:type="dxa"/>
              <w:left w:w="85" w:type="dxa"/>
              <w:bottom w:w="85" w:type="dxa"/>
              <w:right w:w="85" w:type="dxa"/>
            </w:tcMar>
          </w:tcPr>
          <w:p>
            <w:pPr>
              <w:spacing w:after="40"/>
            </w:pPr>
            <w:r>
              <w:rPr>
                <w:sz w:val="20"/>
              </w:rPr>
              <w:t>32,000</w:t>
            </w:r>
          </w:p>
        </w:tc>
      </w:tr>
    </w:tbl>
    <w:p>
      <w:r>
        <w:t>Assumptions matter. SHA3 adds 6 gas per 32-byte word and may expand memory. CALL can add value-transfer, new-account, memory and callee-execution costs. CREATE also executes initialization code and pays code-deposit and other applicable charges. Therefore, the question does not define a universal ranking of complete executions.</w:t>
      </w:r>
    </w:p>
    <w:p>
      <w:r>
        <w:t>Under Berlin-era access pricing, CALL costs 100 for a warm target or 2,600 for a cold target before its other charges. SELFDESTRUCT adds 2,600 if its beneficiary is cold, giving 5,000 or 7,600 when no new account is created. Under comparable minimal-operation assumptions the displayed order remains the same. EIP-6780 also restricts when SELFDESTRUCT deletes code and storage; the opcode name no longer means unconditional contract deletion. [9, 10]</w:t>
      </w:r>
    </w:p>
    <w:p>
      <w:pPr>
        <w:pStyle w:val="FixedSection"/>
        <w:pageBreakBefore/>
      </w:pPr>
      <w:r>
        <w:t>Part I  State consistency and double spending</w:t>
      </w:r>
    </w:p>
    <w:p>
      <w:pPr>
        <w:pStyle w:val="FixedQuestion"/>
      </w:pPr>
      <w:r>
        <w:t>3. In contrast to the transaction based ledger of Bitcoin, Ethereum uses an account based ledger to maintain the world state. In Bitcoin double spend attacks are prevented by unspent transaction outputs (UTXOs): Once a UTXO is spent, it cannot be spent again which creates a chain of coin ownership. How does Ethereum prevent double spends?</w:t>
      </w:r>
    </w:p>
    <w:p>
      <w:r>
        <w:t>Ethereum validates transactions against the current account state. For an ordinary externally owned account, a transaction must have the expected account nonce and enough funds to cover the transferred value and required upfront fee balance. After an included transaction, the sender’s nonce advances and the balance changes. Transactions are processed in the agreed order, so later transactions see the updated state. [11]</w:t>
      </w:r>
    </w:p>
    <w:p>
      <w:r>
        <w:t>For example, Alice has 1 ETH and signs two conflicting transfers using nonce 7. On one canonical history, at most one can execute as the nonce-7 transaction. Once it is included, the expected nonce becomes 8 and the competing nonce-7 transaction is invalid for that state. Using nonce 8 for a second payment does not bypass the balance check; it still requires sufficient remaining funds.</w:t>
      </w:r>
    </w:p>
    <w:p>
      <w:r>
        <w:t>Nonce and balance validation work together with consensus and fork choice. Temporary competing blocks can exist, but nodes do not combine their conflicting histories. Applications wait for suitable confirmation or finality before treating a payment as final. The nonce alone does not resolve competing chains.</w:t>
      </w:r>
    </w:p>
    <w:p>
      <w:pPr>
        <w:pStyle w:val="FixedQuestion"/>
      </w:pPr>
      <w:r>
        <w:t>4. In Ethereum there are two types of transactions. Whenever a wallet calls a method on a contract, a transaction is sent. Whenever a contract calls a method on another contract, a virtual message is sent (sometimes referred as internal transactions). Messages exist ”virtually” and are not written to the blockchain.</w:t>
      </w:r>
    </w:p>
    <w:p>
      <w:pPr>
        <w:pStyle w:val="FixedQuestion"/>
      </w:pPr>
      <w:r>
        <w:t>Why are messages not published to blockchain? How could the blockchain be in the same state among all nodes without writing messages to the blockchain?</w:t>
      </w:r>
    </w:p>
    <w:p>
      <w:r>
        <w:t>Internal calls are steps inside the execution of a top-level transaction. They are not independent signed transactions that need separate entries in the block’s transaction list. Recording each internal call would duplicate information that execution can reconstruct. Their effects are still part of the resulting state, and any surviving event logs appear in the transaction receipt. An explorer’s “internal transactions” view is normally derived from execution traces. [11, 12]</w:t>
      </w:r>
    </w:p>
    <w:p>
      <w:r>
        <w:t>Nodes validating the same block begin with the same prior state and use the same ordered transactions, contract bytecode, applicable EVM rules and block context. Deterministic execution then reproduces the same internal calls and state changes. The block’s state root commits to the resulting state; a different result fails validation. Uncontrolled web responses or a node’s local clock cannot be direct EVM inputs. Oracle results enter through on-chain transactions.</w:t>
      </w:r>
    </w:p>
    <w:p>
      <w:r>
        <w:t>Terminology clarification: this is a distinction between top-level transactions and internal message calls, not an exhaustive list of modern transaction formats. A wallet can also read a contract using eth_call without broadcasting a state-changing transaction.</w:t>
      </w:r>
    </w:p>
    <w:p>
      <w:pPr>
        <w:pStyle w:val="FixedSection"/>
        <w:pageBreakBefore/>
      </w:pPr>
      <w:r>
        <w:t>Part I  Transaction inclusion and failure</w:t>
      </w:r>
    </w:p>
    <w:p>
      <w:pPr>
        <w:pStyle w:val="FixedQuestion"/>
      </w:pPr>
      <w:r>
        <w:t>5(a) Name four reasons why a transaction that is sent to the Ethereum network might not get mined.</w:t>
      </w:r>
    </w:p>
    <w:p>
      <w:r>
        <w:t>Here, “mined” means included in a block. Ethereum now uses proof-of-stake validators rather than proof-of-work miners. Four distinct reasons are: [11]</w:t>
      </w:r>
    </w:p>
    <w:p>
      <w:r>
        <w:t>1. Insufficient fee offer. A transaction whose maxFeePerGas is below the block base fee cannot be included in that block. A valid but uncompetitive priority fee can also delay selection when demand is high.</w:t>
      </w:r>
    </w:p>
    <w:p>
      <w:r>
        <w:t>2. A nonce problem. A future nonce waits for missing earlier transactions; an already-used nonce is invalid for the current state. A replacement using the same nonce may be included instead of the original.</w:t>
      </w:r>
    </w:p>
    <w:p>
      <w:r>
        <w:t>3. Insufficient account balance. The sender may lack enough ETH for the value plus the required upfront fee balance, so the transaction is rejected or cannot yet be included.</w:t>
      </w:r>
    </w:p>
    <w:p>
      <w:r>
        <w:t>4. Invalid gas limits. A gas limit below the transaction’s intrinsic gas requirement is invalid, and a limit above the applicable block or per-transaction limit cannot be accommodated under those rules. This differs from a transaction that passes inclusion checks but runs out of gas during execution.</w:t>
      </w:r>
    </w:p>
    <w:p>
      <w:pPr>
        <w:pStyle w:val="FixedQuestion"/>
      </w:pPr>
      <w:r>
        <w:t>5(b) Name two different ways how a mined/staked transaction can fail.</w:t>
      </w:r>
    </w:p>
    <w:p>
      <w:r>
        <w:t>1. Out of gas during execution. The EVM reaches an operation it cannot pay for with the remaining execution gas. A top-level failure rolls back its execution state changes and the receipt records failure.</w:t>
      </w:r>
    </w:p>
    <w:p>
      <w:r>
        <w:t>2. An uncaught explicit revert. For example, a require check fails because a caller is not authorized, or a requested action violates the contract’s conditions. The top-level execution reverts and its receipt records failure. Unused gas is not automatically consumed merely because REVERT was used. [12, 13]</w:t>
      </w:r>
    </w:p>
    <w:p>
      <w:r>
        <w:t>A failed internal call does not always mean the entire transaction fails: a caller can catch or handle that failure. The examples above concern failure that reaches the top level.</w:t>
      </w:r>
    </w:p>
    <w:p>
      <w:pPr>
        <w:pStyle w:val="FixedQuestion"/>
      </w:pPr>
      <w:r>
        <w:t>5(c) Why does a mined/staked transaction that fails still cost gas?</w:t>
      </w:r>
    </w:p>
    <w:p>
      <w:r>
        <w:t>Nodes still spend resources processing the transaction and executing instructions before failure. Rolling back application state cannot undo that work. Charging for consumed gas also prevents attackers from obtaining free computation by intentionally failing at the end. Therefore the fee is still paid, the sender’s nonce is consumed, and the receipt records failure even though the reverted contract changes do not persist. Under the current fee mechanism, the base-fee portion is burned and the priority-fee portion goes to the block proposer. [6, 11]</w:t>
      </w:r>
    </w:p>
    <w:p>
      <w:pPr>
        <w:pStyle w:val="FixedSection"/>
        <w:pageBreakBefore/>
      </w:pPr>
      <w:r>
        <w:t>Part II  Casino DApp implementation</w:t>
      </w:r>
    </w:p>
    <w:p>
      <w:pPr>
        <w:pStyle w:val="FixedQuestion"/>
      </w:pPr>
      <w:r>
        <w:t>Assignment instruction</w:t>
      </w:r>
    </w:p>
    <w:p>
      <w:r>
        <w:t>Follow the tutorial to create and deploy the Dapp in Ethereum. The application allows users to bet on a number between 1 and 10; after 100 bets, players with the winning number receive a portion of the ether staked. The exercise covers contract creation, test-network deployment, a frontend, contract integration, IPFS hosting and custom-domain use. [14, 15]</w:t>
      </w:r>
    </w:p>
    <w:p>
      <w:pPr>
        <w:pStyle w:val="FixedQuestion"/>
      </w:pPr>
      <w:r>
        <w:t>Implementation and tutorial alignment</w:t>
      </w:r>
    </w:p>
    <w:p>
      <w:r>
        <w:t>The accompanying dapp directory contains the Solidity contract, the pinned Oraclize library, a React frontend, a Webpack build, local EVM tests and deployment instructions. The design retains the tutorial’s asynchronous Oraclize randomness workflow. The historical library was retrieved from its relocated old-contracts directory, with its license retained. Its source includes a Sepolia address-resolver configuration. This is configuration evidence, not proof that its live service will respond. [16]</w:t>
      </w:r>
    </w:p>
    <w:p>
      <w:r>
        <w:t>Solidity 0.4.24 is pinned because Casino accepts ^0.4.22 and the supplied historical library requires a version below 0.4.25. React 18, Webpack 5 and ethers 6 are used for the frontend. Wallet access uses window.ethereum instead of the deprecated window.web3 injection. The browser interface rejects mainnet and permits Sepolia for live deployment. [17]</w:t>
      </w:r>
    </w:p>
    <w:p>
      <w:r>
        <w:t>The deployment form sets 100 bets per round, matching the assignment text. The constructor keeps the tutorial’s configurable minimum stake; the example interface uses 0.001 test ETH to conserve test funds. The original repository’s default of 10 bets is not used for the assignment’s full-round test.</w:t>
      </w:r>
    </w:p>
    <w:p>
      <w:pPr>
        <w:pStyle w:val="FixedQuestion"/>
      </w:pPr>
      <w:r>
        <w:t>Contract operation</w:t>
      </w:r>
    </w:p>
    <w:p>
      <w:r>
        <w:t>Each address chooses one number in the range 1–10 and submits at least the minimum stake. After the 100th bet, any participant can call requestRandomness. This separate step avoids reverting the final bet if the oracle reserve is insufficient. Oracle fees are funded separately from player liabilities.</w:t>
      </w:r>
    </w:p>
    <w:p>
      <w:r>
        <w:t>The live build checks the oracle sender, query ID and Ledger proof before accepting the result. The winning number is derived from the returned result. Settlement records entitlements, and players claim their own payments rather than receiving transfers in a single callback loop.</w:t>
      </w:r>
    </w:p>
    <w:p>
      <w:r>
        <w:t>Winners share the round’s pot equally by winning address, as in the tutorial; a larger stake does not buy more shares. Any integer-division remainder goes to the first winning address. If nobody selected the winning number, all players can reclaim their original stakes. A seven-day timeout from the first bet permits refunds if a round cannot complete.</w:t>
      </w:r>
    </w:p>
    <w:p>
      <w:pPr>
        <w:pStyle w:val="FixedQuestion"/>
      </w:pPr>
      <w:r>
        <w:t>Corrections and limits</w:t>
      </w:r>
    </w:p>
    <w:p>
      <w:r>
        <w:t>The adaptation prevents duplicate requests, rejects stale callbacks, allows a previous player to join a new round, handles zero winners, and separates oracle fees from prize funds. It replaces push payments with claims. Timeout refunds favor recoverability but permit an oracle withholding a result to affect whether a round is refunded. This is a disclosed teaching tradeoff, not an audited production gambling system. Only valueless test assets should be used.</w:t>
      </w:r>
    </w:p>
    <w:p>
      <w:pPr>
        <w:pStyle w:val="FixedSection"/>
        <w:pageBreakBefore/>
      </w:pPr>
      <w:r>
        <w:t>Part II  Test evidence and deployment status</w:t>
      </w:r>
    </w:p>
    <w:p>
      <w:pPr>
        <w:pStyle w:val="FixedQuestion"/>
      </w:pPr>
      <w:r>
        <w:t>Recorded local results</w:t>
      </w:r>
    </w:p>
    <w:p>
      <w:r>
        <w:t>The automated run recorded 21 passing checks on an isolated Ganache EVM with chain ID 31337. Compiler: 0.4.24+commit.e67f0147.Emscripten.clang. Run timestamp: 2026-09-30T13:58:50.114Z. Both the live-library build and the local-mock build compiled successfully.</w:t>
      </w:r>
    </w:p>
    <w:p>
      <w:r>
        <w:t>The full-round test submitted 100 bets, recorded a 1,001 wei pot, settled a chosen mock result, and paid ten winners: 101 wei to the first winner and 100 wei to each of the other nine. Player liabilities returned to zero. Separate cases tested a no-winner refund and an expired incomplete round.</w:t>
      </w:r>
    </w:p>
    <w:p>
      <w:r>
        <w:t>Rejection tests covered out-of-range numbers, insufficient stake, an early oracle request, a 101st bet, repeated requests, an unauthorized callback, an unknown query, replayed callbacks, duplicate bets, repeated claims, losing claims and premature timeout refunds. A prior player successfully participated in a new round.</w:t>
      </w:r>
    </w:p>
    <w:p>
      <w:r>
        <w:t>The local compiler substitutes test/MockOraclize.sol only for Casino.local.json. This shim deliberately bypasses proof verification and accepts a controlled callback. These tests verify contract bookkeeping and transitions; they do not verify unpredictable randomness, authentic Ledger proofs, public oracle availability or Sepolia deployment.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328"/>
      </w:tblGrid>
      <w:tr>
        <w:tc>
          <w:tcPr>
            <w:tcW w:type="dxa" w:w="4464"/>
            <w:tcMar>
              <w:top w:w="85" w:type="dxa"/>
              <w:left w:w="85" w:type="dxa"/>
              <w:bottom w:w="85" w:type="dxa"/>
              <w:right w:w="85" w:type="dxa"/>
            </w:tcMar>
            <w:shd w:fill="E8ECEA"/>
          </w:tcPr>
          <w:p>
            <w:pPr>
              <w:spacing w:after="40"/>
            </w:pPr>
            <w:r>
              <w:rPr>
                <w:b/>
                <w:sz w:val="20"/>
              </w:rPr>
              <w:t>Deliverable or evidence</w:t>
            </w:r>
          </w:p>
        </w:tc>
        <w:tc>
          <w:tcPr>
            <w:tcW w:type="dxa" w:w="5328"/>
            <w:tcMar>
              <w:top w:w="85" w:type="dxa"/>
              <w:left w:w="85" w:type="dxa"/>
              <w:bottom w:w="85" w:type="dxa"/>
              <w:right w:w="85" w:type="dxa"/>
            </w:tcMar>
            <w:shd w:fill="E8ECEA"/>
          </w:tcPr>
          <w:p>
            <w:pPr>
              <w:spacing w:after="40"/>
            </w:pPr>
            <w:r>
              <w:rPr>
                <w:b/>
                <w:sz w:val="20"/>
              </w:rPr>
              <w:t>Recorded status</w:t>
            </w:r>
          </w:p>
        </w:tc>
      </w:tr>
      <w:tr>
        <w:tc>
          <w:tcPr>
            <w:tcW w:type="dxa" w:w="4464"/>
            <w:tcMar>
              <w:top w:w="85" w:type="dxa"/>
              <w:left w:w="85" w:type="dxa"/>
              <w:bottom w:w="85" w:type="dxa"/>
              <w:right w:w="85" w:type="dxa"/>
            </w:tcMar>
          </w:tcPr>
          <w:p>
            <w:pPr>
              <w:spacing w:after="40"/>
            </w:pPr>
            <w:r>
              <w:rPr>
                <w:sz w:val="20"/>
              </w:rPr>
              <w:t>Part I answers and mainnet examples</w:t>
            </w:r>
          </w:p>
        </w:tc>
        <w:tc>
          <w:tcPr>
            <w:tcW w:type="dxa" w:w="5328"/>
            <w:tcMar>
              <w:top w:w="85" w:type="dxa"/>
              <w:left w:w="85" w:type="dxa"/>
              <w:bottom w:w="85" w:type="dxa"/>
              <w:right w:w="85" w:type="dxa"/>
            </w:tcMar>
          </w:tcPr>
          <w:p>
            <w:pPr>
              <w:spacing w:after="40"/>
            </w:pPr>
            <w:r>
              <w:rPr>
                <w:sz w:val="20"/>
              </w:rPr>
              <w:t>Completed with explicit assumptions and references</w:t>
            </w:r>
          </w:p>
        </w:tc>
      </w:tr>
      <w:tr>
        <w:tc>
          <w:tcPr>
            <w:tcW w:type="dxa" w:w="4464"/>
            <w:tcMar>
              <w:top w:w="85" w:type="dxa"/>
              <w:left w:w="85" w:type="dxa"/>
              <w:bottom w:w="85" w:type="dxa"/>
              <w:right w:w="85" w:type="dxa"/>
            </w:tcMar>
          </w:tcPr>
          <w:p>
            <w:pPr>
              <w:spacing w:after="40"/>
            </w:pPr>
            <w:r>
              <w:rPr>
                <w:sz w:val="20"/>
              </w:rPr>
              <w:t>Live library and local mock compilation</w:t>
            </w:r>
          </w:p>
        </w:tc>
        <w:tc>
          <w:tcPr>
            <w:tcW w:type="dxa" w:w="5328"/>
            <w:tcMar>
              <w:top w:w="85" w:type="dxa"/>
              <w:left w:w="85" w:type="dxa"/>
              <w:bottom w:w="85" w:type="dxa"/>
              <w:right w:w="85" w:type="dxa"/>
            </w:tcMar>
          </w:tcPr>
          <w:p>
            <w:pPr>
              <w:spacing w:after="40"/>
            </w:pPr>
            <w:r>
              <w:rPr>
                <w:sz w:val="20"/>
              </w:rPr>
              <w:t>Both succeeded</w:t>
            </w:r>
          </w:p>
        </w:tc>
      </w:tr>
      <w:tr>
        <w:tc>
          <w:tcPr>
            <w:tcW w:type="dxa" w:w="4464"/>
            <w:tcMar>
              <w:top w:w="85" w:type="dxa"/>
              <w:left w:w="85" w:type="dxa"/>
              <w:bottom w:w="85" w:type="dxa"/>
              <w:right w:w="85" w:type="dxa"/>
            </w:tcMar>
          </w:tcPr>
          <w:p>
            <w:pPr>
              <w:spacing w:after="40"/>
            </w:pPr>
            <w:r>
              <w:rPr>
                <w:sz w:val="20"/>
              </w:rPr>
              <w:t>Local contract checks</w:t>
            </w:r>
          </w:p>
        </w:tc>
        <w:tc>
          <w:tcPr>
            <w:tcW w:type="dxa" w:w="5328"/>
            <w:tcMar>
              <w:top w:w="85" w:type="dxa"/>
              <w:left w:w="85" w:type="dxa"/>
              <w:bottom w:w="85" w:type="dxa"/>
              <w:right w:w="85" w:type="dxa"/>
            </w:tcMar>
          </w:tcPr>
          <w:p>
            <w:pPr>
              <w:spacing w:after="40"/>
            </w:pPr>
            <w:r>
              <w:rPr>
                <w:sz w:val="20"/>
              </w:rPr>
              <w:t>21 checks passed; local-tests.json includes transaction receipts</w:t>
            </w:r>
          </w:p>
        </w:tc>
      </w:tr>
      <w:tr>
        <w:tc>
          <w:tcPr>
            <w:tcW w:type="dxa" w:w="4464"/>
            <w:tcMar>
              <w:top w:w="85" w:type="dxa"/>
              <w:left w:w="85" w:type="dxa"/>
              <w:bottom w:w="85" w:type="dxa"/>
              <w:right w:w="85" w:type="dxa"/>
            </w:tcMar>
          </w:tcPr>
          <w:p>
            <w:pPr>
              <w:spacing w:after="40"/>
            </w:pPr>
            <w:r>
              <w:rPr>
                <w:sz w:val="20"/>
              </w:rPr>
              <w:t>React frontend and Webpack project</w:t>
            </w:r>
          </w:p>
        </w:tc>
        <w:tc>
          <w:tcPr>
            <w:tcW w:type="dxa" w:w="5328"/>
            <w:tcMar>
              <w:top w:w="85" w:type="dxa"/>
              <w:left w:w="85" w:type="dxa"/>
              <w:bottom w:w="85" w:type="dxa"/>
              <w:right w:w="85" w:type="dxa"/>
            </w:tcMar>
          </w:tcPr>
          <w:p>
            <w:pPr>
              <w:spacing w:after="40"/>
            </w:pPr>
            <w:r>
              <w:rPr>
                <w:sz w:val="20"/>
              </w:rPr>
              <w:t>Included; see accompanying build and browser evidence</w:t>
            </w:r>
          </w:p>
        </w:tc>
      </w:tr>
      <w:tr>
        <w:tc>
          <w:tcPr>
            <w:tcW w:type="dxa" w:w="4464"/>
            <w:tcMar>
              <w:top w:w="85" w:type="dxa"/>
              <w:left w:w="85" w:type="dxa"/>
              <w:bottom w:w="85" w:type="dxa"/>
              <w:right w:w="85" w:type="dxa"/>
            </w:tcMar>
          </w:tcPr>
          <w:p>
            <w:pPr>
              <w:spacing w:after="40"/>
            </w:pPr>
            <w:r>
              <w:rPr>
                <w:sz w:val="20"/>
              </w:rPr>
              <w:t>Sepolia deployment and real oracle callback</w:t>
            </w:r>
          </w:p>
        </w:tc>
        <w:tc>
          <w:tcPr>
            <w:tcW w:type="dxa" w:w="5328"/>
            <w:tcMar>
              <w:top w:w="85" w:type="dxa"/>
              <w:left w:w="85" w:type="dxa"/>
              <w:bottom w:w="85" w:type="dxa"/>
              <w:right w:w="85" w:type="dxa"/>
            </w:tcMar>
          </w:tcPr>
          <w:p>
            <w:pPr>
              <w:spacing w:after="40"/>
            </w:pPr>
            <w:r>
              <w:rPr>
                <w:sz w:val="20"/>
              </w:rPr>
              <w:t>Not recorded; wallet authorization and live validation remain</w:t>
            </w:r>
          </w:p>
        </w:tc>
      </w:tr>
      <w:tr>
        <w:tc>
          <w:tcPr>
            <w:tcW w:type="dxa" w:w="4464"/>
            <w:tcMar>
              <w:top w:w="85" w:type="dxa"/>
              <w:left w:w="85" w:type="dxa"/>
              <w:bottom w:w="85" w:type="dxa"/>
              <w:right w:w="85" w:type="dxa"/>
            </w:tcMar>
          </w:tcPr>
          <w:p>
            <w:pPr>
              <w:spacing w:after="40"/>
            </w:pPr>
            <w:r>
              <w:rPr>
                <w:sz w:val="20"/>
              </w:rPr>
              <w:t>GitHub push and course repository link</w:t>
            </w:r>
          </w:p>
        </w:tc>
        <w:tc>
          <w:tcPr>
            <w:tcW w:type="dxa" w:w="5328"/>
            <w:tcMar>
              <w:top w:w="85" w:type="dxa"/>
              <w:left w:w="85" w:type="dxa"/>
              <w:bottom w:w="85" w:type="dxa"/>
              <w:right w:w="85" w:type="dxa"/>
            </w:tcMar>
          </w:tcPr>
          <w:p>
            <w:pPr>
              <w:spacing w:after="40"/>
            </w:pPr>
            <w:r>
              <w:rPr>
                <w:sz w:val="20"/>
              </w:rPr>
              <w:t>Not recorded; course repository and collaborator accounts remain</w:t>
            </w:r>
          </w:p>
        </w:tc>
      </w:tr>
      <w:tr>
        <w:tc>
          <w:tcPr>
            <w:tcW w:type="dxa" w:w="4464"/>
            <w:tcMar>
              <w:top w:w="85" w:type="dxa"/>
              <w:left w:w="85" w:type="dxa"/>
              <w:bottom w:w="85" w:type="dxa"/>
              <w:right w:w="85" w:type="dxa"/>
            </w:tcMar>
          </w:tcPr>
          <w:p>
            <w:pPr>
              <w:spacing w:after="40"/>
            </w:pPr>
            <w:r>
              <w:rPr>
                <w:sz w:val="20"/>
              </w:rPr>
              <w:t>IPFS publication and custom domain</w:t>
            </w:r>
          </w:p>
        </w:tc>
        <w:tc>
          <w:tcPr>
            <w:tcW w:type="dxa" w:w="5328"/>
            <w:tcMar>
              <w:top w:w="85" w:type="dxa"/>
              <w:left w:w="85" w:type="dxa"/>
              <w:bottom w:w="85" w:type="dxa"/>
              <w:right w:w="85" w:type="dxa"/>
            </w:tcMar>
          </w:tcPr>
          <w:p>
            <w:pPr>
              <w:spacing w:after="40"/>
            </w:pPr>
            <w:r>
              <w:rPr>
                <w:sz w:val="20"/>
              </w:rPr>
              <w:t>Not recorded; final deployed configuration and hosting access remain</w:t>
            </w:r>
          </w:p>
        </w:tc>
      </w:tr>
    </w:tbl>
    <w:p>
      <w:pPr>
        <w:pStyle w:val="FixedQuestion"/>
      </w:pPr>
      <w:r>
        <w:t>Evidence required to complete public deployment</w:t>
      </w:r>
    </w:p>
    <w:p>
      <w:r>
        <w:t>Record the Sepolia contract address, successful deployment transaction, at least one interaction transaction, and a genuine oracle request/callback if the live service is available. Then set the public frontend configuration to the verified Sepolia address, rebuild and publish the dist directory to IPFS. Record its actual root CID and test the resulting gateway URL. Publishing the frontend does not deploy the smart contract.</w:t>
      </w:r>
    </w:p>
    <w:p>
      <w:r>
        <w:t>Push the source and lockfile to the course’s existing GitHub repository, include the repository link, and grant the instructor and TA the requested access. A custom domain additionally requires control of its DNS and a DNSLink TXT record pointing to the published CID. Do not report a sample CID, a local address or the IPFS documentation URL as a completed deployment. [18]</w:t>
      </w:r>
    </w:p>
    <w:p>
      <w:pPr>
        <w:pStyle w:val="FixedSection"/>
        <w:pageBreakBefore/>
      </w:pPr>
      <w:r>
        <w:t>References</w:t>
      </w:r>
    </w:p>
    <w:p>
      <w:pPr>
        <w:spacing w:after="140"/>
      </w:pPr>
      <w:r>
        <w:rPr>
          <w:sz w:val="19"/>
        </w:rPr>
        <w:t>[1] GEC Academy. Ethereum DApps And Related Tools Primer, slide 2-30. Course lecture PDF supplied by the student.</w:t>
      </w:r>
    </w:p>
    <w:p>
      <w:pPr>
        <w:spacing w:after="140"/>
      </w:pPr>
      <w:r>
        <w:rPr>
          <w:sz w:val="19"/>
        </w:rPr>
        <w:t>[2] Uniswap. UNI Token, Ethereum mainnet token and GovernorBravo deployments. https://developers.uniswap.org/docs/ecosystem/governance/uni</w:t>
      </w:r>
    </w:p>
    <w:p>
      <w:pPr>
        <w:spacing w:after="140"/>
      </w:pPr>
      <w:r>
        <w:rPr>
          <w:sz w:val="19"/>
        </w:rPr>
        <w:t>[3] ENS. Deployments, mainnet Registry. https://docs.ens.domains/learn/deployments/</w:t>
      </w:r>
    </w:p>
    <w:p>
      <w:pPr>
        <w:spacing w:after="140"/>
      </w:pPr>
      <w:r>
        <w:rPr>
          <w:sz w:val="19"/>
        </w:rPr>
        <w:t>[4] Uniswap. Uniswap v2 Deployments. https://developers.uniswap.org/docs/protocols/v2/deployments</w:t>
      </w:r>
    </w:p>
    <w:p>
      <w:pPr>
        <w:spacing w:after="140"/>
      </w:pPr>
      <w:r>
        <w:rPr>
          <w:sz w:val="19"/>
        </w:rPr>
        <w:t>[5] BGD Labs. Aave Address Book, AaveV3Ethereum.sol, POOL constant. https://github.com/bgd-labs/aave-address-book/blob/main/src/AaveV3Ethereum.sol</w:t>
      </w:r>
    </w:p>
    <w:p>
      <w:pPr>
        <w:spacing w:after="140"/>
      </w:pPr>
      <w:r>
        <w:rPr>
          <w:sz w:val="19"/>
        </w:rPr>
        <w:t>[6] Ethereum documentation. Gas and fees. https://ethereum.org/en/developers/docs/gas/</w:t>
      </w:r>
    </w:p>
    <w:p>
      <w:pPr>
        <w:spacing w:after="140"/>
      </w:pPr>
      <w:r>
        <w:rPr>
          <w:sz w:val="19"/>
        </w:rPr>
        <w:t>[7] Ethereum documentation. Opcodes for the EVM. https://ethereum.org/en/developers/docs/evm/opcodes/</w:t>
      </w:r>
    </w:p>
    <w:p>
      <w:pPr>
        <w:spacing w:after="140"/>
      </w:pPr>
      <w:r>
        <w:rPr>
          <w:sz w:val="19"/>
        </w:rPr>
        <w:t>[8] EIP-150. Gas cost changes for IO-heavy operations. https://eips.ethereum.org/EIPS/eip-150</w:t>
      </w:r>
    </w:p>
    <w:p>
      <w:pPr>
        <w:spacing w:after="140"/>
      </w:pPr>
      <w:r>
        <w:rPr>
          <w:sz w:val="19"/>
        </w:rPr>
        <w:t>[9] EIP-2929. Gas cost increases for state access opcodes. https://eips.ethereum.org/EIPS/eip-2929</w:t>
      </w:r>
    </w:p>
    <w:p>
      <w:pPr>
        <w:spacing w:after="140"/>
      </w:pPr>
      <w:r>
        <w:rPr>
          <w:sz w:val="19"/>
        </w:rPr>
        <w:t>[10] EIP-6780. SELFDESTRUCT only in same transaction. https://eips.ethereum.org/EIPS/eip-6780</w:t>
      </w:r>
    </w:p>
    <w:p>
      <w:pPr>
        <w:spacing w:after="140"/>
      </w:pPr>
      <w:r>
        <w:rPr>
          <w:sz w:val="19"/>
        </w:rPr>
        <w:t>[11] Ethereum documentation. Transactions. https://ethereum.org/en/developers/docs/transactions/</w:t>
      </w:r>
    </w:p>
    <w:p>
      <w:pPr>
        <w:spacing w:after="140"/>
      </w:pPr>
      <w:r>
        <w:rPr>
          <w:sz w:val="19"/>
        </w:rPr>
        <w:t>[12] Ethereum documentation. Ethereum Virtual Machine. https://ethereum.org/en/developers/docs/evm/</w:t>
      </w:r>
    </w:p>
    <w:p>
      <w:pPr>
        <w:spacing w:after="140"/>
      </w:pPr>
      <w:r>
        <w:rPr>
          <w:sz w:val="19"/>
        </w:rPr>
        <w:t>[13] EIP-140. REVERT instruction. https://eips.ethereum.org/EIPS/eip-140</w:t>
      </w:r>
    </w:p>
    <w:p>
      <w:pPr>
        <w:spacing w:after="140"/>
      </w:pPr>
      <w:r>
        <w:rPr>
          <w:sz w:val="19"/>
        </w:rPr>
        <w:t>[14] Merunas Grincalaitis. Casino tutorial and MIT-licensed source. https://github.com/merlox/casino-ethereum (source commit c23bab027e22d829fafa69a99e07ef2c89512020). Tutorial URL is retained in the accompanying README.</w:t>
      </w:r>
    </w:p>
    <w:p>
      <w:pPr>
        <w:spacing w:after="140"/>
      </w:pPr>
      <w:r>
        <w:rPr>
          <w:sz w:val="19"/>
        </w:rPr>
        <w:t>[15] GEC Academy. Assignment 2 - Supplemental document(1).pdf, 12 pages. Student-supplied supplement.</w:t>
      </w:r>
    </w:p>
    <w:p>
      <w:pPr>
        <w:spacing w:after="140"/>
      </w:pPr>
      <w:r>
        <w:rPr>
          <w:sz w:val="19"/>
        </w:rPr>
        <w:t>[16] Provable. Historical Oraclize API. https://github.com/provable-things/ethereum-api/blob/a67a1d9bd5f57a5cc80386e2e67bbfd58d07fa14/old-contracts/previous-api-contracts/oraclizeAPI_0.4.sol</w:t>
      </w:r>
    </w:p>
    <w:p>
      <w:pPr>
        <w:spacing w:after="140"/>
      </w:pPr>
      <w:r>
        <w:rPr>
          <w:sz w:val="19"/>
        </w:rPr>
        <w:t>[17] MetaMask. Ethereum provider API. https://docs.metamask.io/metamask-connect/evm/reference/provider-api/</w:t>
      </w:r>
    </w:p>
    <w:p>
      <w:pPr>
        <w:spacing w:after="140"/>
      </w:pPr>
      <w:r>
        <w:rPr>
          <w:sz w:val="19"/>
        </w:rPr>
        <w:t>[18] IPFS. Custom domains and DNSLink. https://docs.ipfs.tech/how-to/websites-on-ipfs/custom-domains/</w:t>
      </w:r>
    </w:p>
    <w:p>
      <w:r>
        <w:t>Online sources checked on 30 September 2026. Contract addresses are network-specific and are provided for this assignment’s classification exercise.</w:t>
      </w:r>
    </w:p>
    <w:sectPr w:rsidR="00FC693F" w:rsidRPr="0006063C" w:rsidSect="00034616">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xedSection">
    <w:name w:val="Fixed Section"/>
    <w:basedOn w:val="Normal"/>
    <w:pPr>
      <w:keepNext/>
      <w:spacing w:before="200" w:after="140"/>
      <w:outlineLvl w:val="9"/>
    </w:pPr>
    <w:rPr>
      <w:rFonts w:ascii="Times New Roman" w:hAnsi="Times New Roman"/>
      <w:b/>
      <w:color w:val="000000"/>
      <w:sz w:val="30"/>
    </w:rPr>
  </w:style>
  <w:style w:type="paragraph" w:customStyle="1" w:styleId="FixedQuestion">
    <w:name w:val="Fixed Question"/>
    <w:basedOn w:val="Normal"/>
    <w:pPr>
      <w:keepNext/>
      <w:spacing w:before="200" w:after="140"/>
      <w:outlineLvl w:val="9"/>
    </w:pPr>
    <w:rPr>
      <w:rFonts w:ascii="Times New Roman" w:hAnsi="Times New Roman"/>
      <w:b/>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Ethereum Assignment Lab 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