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Lab 3 Ethereum Answers</w:t>
      </w:r>
    </w:p>
    <w:p>
      <w:pPr>
        <w:jc w:val="center"/>
      </w:pPr>
      <w:r>
        <w:t>Introduction to Ethereum and Cloud Blockchain Solutions Engineering</w:t>
      </w:r>
    </w:p>
    <w:p>
      <w:r>
        <w:t>Name (last name, first name): Yujing, Hua    Date: October 16, 2026</w:t>
      </w:r>
    </w:p>
    <w:p>
      <w:r>
        <w:t>Email address: Hi_yuuj-ng@outlook.com</w:t>
      </w:r>
    </w:p>
    <w:p>
      <w:r>
        <w:t>Instructor: Jean-Claude Franchitti    Session: 4</w:t>
      </w:r>
    </w:p>
    <w:p>
      <w:r>
        <w:br w:type="page"/>
      </w:r>
    </w:p>
    <w:p>
      <w:pPr>
        <w:pStyle w:val="Heading1"/>
      </w:pPr>
      <w:r>
        <w:t>1 Ethereum Storage and Gas</w:t>
      </w:r>
    </w:p>
    <w:p>
      <w:pPr>
        <w:pStyle w:val="Heading2"/>
      </w:pPr>
      <w:r>
        <w:t>1(a) Memory and storage</w:t>
      </w:r>
    </w:p>
    <w:p>
      <w:r>
        <w:t>Memory is temporary, per-call working space. It is cleared after the external call and is comparatively cheap. Storage is persistent contract state, addressed by 256-bit slots and retained on every node, so writes are expensive and affect the contract state root. A dynamic array such as bytes32[] uses storage slots for its length and elements.</w:t>
      </w:r>
    </w:p>
    <w:p>
      <w:pPr>
        <w:pStyle w:val="Heading2"/>
      </w:pPr>
      <w:r>
        <w:t>1(b) Why setting storage to zero is cheaper</w:t>
      </w:r>
    </w:p>
    <w:p>
      <w:r>
        <w:t>Changing a zero storage slot to a non-zero value creates persistent state and historically costs 20,000 gas. Writing zero to an already non-zero slot costs less because the state is cleared; the protocol gives a refund for releasing storage, subject to the refund rules and caps. The lower cost reflects the reduced long-term state burden, not a free operation.</w:t>
      </w:r>
    </w:p>
    <w:p>
      <w:pPr>
        <w:pStyle w:val="Heading2"/>
      </w:pPr>
      <w:r>
        <w:t>1(c) Approximate cost of storing 1 KiB</w:t>
      </w:r>
    </w:p>
    <w:p>
      <w:r>
        <w:t>The StorageTest program stores 32 words × 32 bytes = 1,024 bytes. Ignoring every operation except the first non-zero SSTORE for each word, the estimate is 32 × 20,000 = 640,000 gas. In the Etherscan snapshot recorded on October 16, 2026, the average gas price was 0.12 gwei and ETH was approximately US$1,860.26: 640,000 × 0.12 gwei = 0.0000768 ETH, or about US$0.14. This is only a lower-bound arithmetic estimate; calldata, intrinsic gas, cold-access costs, compiler behavior, base fee, priority fee, and refunds change the actual transaction cost.</w:t>
      </w:r>
    </w:p>
    <w:p>
      <w:pPr>
        <w:pStyle w:val="Heading2"/>
      </w:pPr>
      <w:r>
        <w:t>1(d) Remix experiment</w:t>
      </w:r>
    </w:p>
    <w:p>
      <w:r>
        <w:t>In Remix, compile StorageTest with optimization enabled, deploy it in the JavaScript VM or another authorized test environment, call put() with the supplied 32-element array, and read the receipt. Record the receipt gasUsed rather than the gas limit. The reproducible local run in this submission measures the same operation with solc 0.8.30 and 200 optimizer runs; its exact gasUsed is stored in evidence/local-modern-tests.json. A local receipt is not evidence of a Sepolia transaction.</w:t>
      </w:r>
    </w:p>
    <w:p>
      <w:pPr>
        <w:pStyle w:val="Heading2"/>
      </w:pPr>
      <w:r>
        <w:t>1(e) Why actual cost is higher than the simple estimate</w:t>
      </w:r>
    </w:p>
    <w:p>
      <w:r>
        <w:t>Three important factors are (1) transaction intrinsic gas and ABI calldata, (2) EVM instructions for array length updates, bounds checks, memory expansion and loop bookkeeping, and (3) the effective gas price, which includes the block base fee and the sender priority fee. Cold storage/account access and compiler-generated code add further gas; a storage clear can instead create a refund subject to protocol limits.</w:t>
      </w:r>
    </w:p>
    <w:p>
      <w:pPr>
        <w:pStyle w:val="Heading1"/>
      </w:pPr>
      <w:r>
        <w:t>2 Parity Multisignature Wallet Hack</w:t>
      </w:r>
    </w:p>
    <w:p>
      <w:pPr>
        <w:pStyle w:val="Heading2"/>
      </w:pPr>
      <w:r>
        <w:t>2(a) Multi-signature wallet and Parity</w:t>
      </w:r>
    </w:p>
    <w:p>
      <w:r>
        <w:t>A multi-signature wallet requires a threshold number of approvals from a set of owners before a transaction executes. Parity was an Ethereum client and wallet implementation whose 2017 multisig library/delegatecall design was used by many deployed wallets.</w:t>
      </w:r>
    </w:p>
    <w:p>
      <w:pPr>
        <w:pStyle w:val="Heading2"/>
      </w:pPr>
      <w:r>
        <w:t>2(b) initWallet vulnerability and prevention</w:t>
      </w:r>
    </w:p>
    <w:p>
      <w:r>
        <w:t>The vulnerable initializer was callable after deployment and lacked a one-time initialization guard. An attacker could call initWallet with attacker-controlled owners and a low threshold, taking control of the wallet logic. The fix is to initialize exactly once in the constructor or an initializer protected by an initialized flag, validate owners and the threshold, and prevent arbitrary callers from invoking setup after deployment. A modern implementation should use audited OpenZeppelin-style initialization patterns and tests.</w:t>
      </w:r>
    </w:p>
    <w:p>
      <w:pPr>
        <w:pStyle w:val="Heading1"/>
      </w:pPr>
      <w:r>
        <w:t>3 Abstract Contracts Interfaces and Libraries</w:t>
      </w:r>
    </w:p>
    <w:p>
      <w:r>
        <w:t>An abstract contract may contain implemented functions, state, modifiers and abstract functions that derived contracts must implement; it cannot normally be deployed until all required functions are implemented. An interface declares an external contract ABI: it contains function signatures, events and errors but no state or implementation, and is used to call another contract through its address. A library is reusable code deployed once and called with library semantics; it cannot hold ordinary contract state for users, and its functions are intended for shared utility or type-extension logic. Libraries and interfaces are both compositional tools, but a library supplies implementation while an interface supplies a type-level contract.</w:t>
      </w:r>
    </w:p>
    <w:p>
      <w:pPr>
        <w:pStyle w:val="Heading1"/>
      </w:pPr>
      <w:r>
        <w:t>4 True or False</w:t>
      </w:r>
    </w:p>
    <w:p>
      <w:r>
        <w:rPr>
          <w:b/>
        </w:rPr>
        <w:t xml:space="preserve">4(a) </w:t>
      </w:r>
      <w:r>
        <w:t>False. Every pure function is read-only, but a view function may read state. A pure function is more restrictive because it may not read or modify contract state.</w:t>
      </w:r>
    </w:p>
    <w:p>
      <w:r>
        <w:rPr>
          <w:b/>
        </w:rPr>
        <w:t xml:space="preserve">4(b) </w:t>
      </w:r>
      <w:r>
        <w:t>False as stated. A view call made locally with eth_call does not consume the caller’s gas, but including a view call inside a state-changing transaction consumes gas for execution.</w:t>
      </w:r>
    </w:p>
    <w:p>
      <w:r>
        <w:rPr>
          <w:b/>
        </w:rPr>
        <w:t xml:space="preserve">4(c) </w:t>
      </w:r>
      <w:r>
        <w:t>False as stated. A contract without payable functions cannot receive Ether through a normal call, but forced Ether transfers can still occur through selfdestruct or coinbase/reward mechanisms.</w:t>
      </w:r>
    </w:p>
    <w:p>
      <w:r>
        <w:rPr>
          <w:b/>
        </w:rPr>
        <w:t xml:space="preserve">4(d) </w:t>
      </w:r>
      <w:r>
        <w:t>False. Solidity int and uint without a size are 256-bit types, so each has 2^256 possible bit patterns, not 2^32. uint32 and int32 are the 32-bit variants.</w:t>
      </w:r>
    </w:p>
    <w:p>
      <w:r>
        <w:rPr>
          <w:b/>
        </w:rPr>
        <w:t xml:space="preserve">4(e) </w:t>
      </w:r>
      <w:r>
        <w:t>True for a direct call. If msg.sender equals tx.origin, the immediate caller is the externally owned account that originated the transaction. This check is not a complete security policy because contracts can be composed through other patterns and it harms legitimate smart-wallet use.</w:t>
      </w:r>
    </w:p>
    <w:p>
      <w:pPr>
        <w:pStyle w:val="Heading1"/>
      </w:pPr>
      <w:r>
        <w:t>5 Solidity Hello World and Sepolia</w:t>
      </w:r>
    </w:p>
    <w:p>
      <w:pPr>
        <w:pStyle w:val="Heading2"/>
      </w:pPr>
      <w:r>
        <w:t>5(a) Test network</w:t>
      </w:r>
    </w:p>
    <w:p>
      <w:r>
        <w:t>A test network is an Ethereum-compatible network whose Ether has no intended monetary value and is used to test deployments and transactions. It avoids risking real funds while exposing realistic wallets, gas, receipts and contract interactions.</w:t>
      </w:r>
    </w:p>
    <w:p>
      <w:pPr>
        <w:pStyle w:val="Heading2"/>
      </w:pPr>
      <w:r>
        <w:t>5(b) Major Ethereum test networks</w:t>
      </w:r>
    </w:p>
    <w:p>
      <w:r>
        <w:t>Sepolia is the current general-purpose Ethereum testnet used for application testing. Holesky was designed primarily for staking and validator infrastructure testing and is not the same application-testing target. Local development chains such as Ganache or Hardhat Network are private, instant and deterministic but do not provide public-network behavior. Older networks such as Goerli have been deprecated or are being phased out, so the network status should be checked before use.</w:t>
      </w:r>
    </w:p>
    <w:p>
      <w:pPr>
        <w:pStyle w:val="Heading2"/>
      </w:pPr>
      <w:r>
        <w:t>5(c) Wallet and faucet</w:t>
      </w:r>
    </w:p>
    <w:p>
      <w:r>
        <w:t>A separate MetaMask test account was configured for Sepolia and funded with test ETH from a faucet during the previous lab. The wallet address and seed phrase must never be included in the submission. Mainnet funds should not be purchased for this exercise.</w:t>
      </w:r>
    </w:p>
    <w:p>
      <w:pPr>
        <w:pStyle w:val="Heading2"/>
      </w:pPr>
      <w:r>
        <w:t>5(d) Hello World contract</w:t>
      </w:r>
    </w:p>
    <w:p>
      <w:r>
        <w:t>The repository contains contracts/HelloWorld.sol. It uses Solidity 0.8.30, which satisfies the requirement of compiler version &gt;= 0.5.1, and exposes hello() returning the string "Hello, world!". The transaction path also emits the same text in an event so the result is visible in a receipt.</w:t>
      </w:r>
    </w:p>
    <w:p>
      <w:pPr>
        <w:pStyle w:val="Heading2"/>
      </w:pPr>
      <w:r>
        <w:t>5(e) Compiler, optimizer and ABI</w:t>
      </w:r>
    </w:p>
    <w:p>
      <w:r>
        <w:t>The compiler converts Solidity source into EVM bytecode and an ABI. Optimization reduces bytecode size and/or runtime gas according to the selected run count; this submission uses 200 optimizer runs. The ABI describes functions, parameters, return values, events and errors so a wallet, script or frontend can encode calls and decode receipts and logs.</w:t>
      </w:r>
    </w:p>
    <w:p>
      <w:pPr>
        <w:pStyle w:val="Heading2"/>
      </w:pPr>
      <w:r>
        <w:t>5(f) --bin and --bin-runtime</w:t>
      </w:r>
    </w:p>
    <w:p>
      <w:r>
        <w:t>--bin produces creation bytecode, which includes constructor logic and the embedded runtime code. --bin-runtime produces only the code stored at the contract address after construction. To deploy a contract, use the creation bytecode; runtime bytecode alone cannot run the constructor.</w:t>
      </w:r>
    </w:p>
    <w:p>
      <w:pPr>
        <w:pStyle w:val="Heading2"/>
      </w:pPr>
      <w:r>
        <w:t>5(g) Deployment and output</w:t>
      </w:r>
    </w:p>
    <w:p>
      <w:r>
        <w:t>Deploy HelloWorld to Sepolia with the injected wallet provider, approve the deployment, then send a transaction calling hello(). The deployment and call receipts can be viewed on Sepolia Etherscan. For a state-changing call, the return value is not shown as a normal transaction result; inspect the emitted Hello event in the receipt/logs or call hello() with a read-only eth_call after deployment. Only a confirmed wallet transaction hash should be recorded as evidence.</w:t>
      </w:r>
    </w:p>
    <w:p>
      <w:pPr>
        <w:pStyle w:val="Heading1"/>
      </w:pPr>
      <w:r>
        <w:t>6 Reentrancy and address.call</w:t>
      </w:r>
    </w:p>
    <w:p>
      <w:pPr>
        <w:pStyle w:val="Heading2"/>
      </w:pPr>
      <w:r>
        <w:t>6(a) Contract functionality</w:t>
      </w:r>
    </w:p>
    <w:p>
      <w:r>
        <w:t>Dangerous keeps a deposit balance for each address. depositMoney() increases the sender’s balance. withdraw(amount) checks the recorded balance, sends Ether to the sender using a low-level call, and then decreases the recorded balance.</w:t>
      </w:r>
    </w:p>
    <w:p>
      <w:pPr>
        <w:pStyle w:val="Heading2"/>
      </w:pPr>
      <w:r>
        <w:t>6(b) Line 13</w:t>
      </w:r>
    </w:p>
    <w:p>
      <w:r>
        <w:t>msg.sender.call.value(amount)() performs a low-level Ether call to the sender with empty calldata. It forwards control to the recipient’s fallback function and returns a boolean success value. If the recipient is a contract, its fallback can execute before the caller updates its bookkeeping.</w:t>
      </w:r>
    </w:p>
    <w:p>
      <w:pPr>
        <w:pStyle w:val="Heading2"/>
      </w:pPr>
      <w:r>
        <w:t>6(c) Reentrancy problem</w:t>
      </w:r>
    </w:p>
    <w:p>
      <w:r>
        <w:t>Because the external call happens before deposits[msg.sender] is reduced, a malicious recipient can call withdraw again from its fallback. Each nested call sees the old balance and transfers more Ether. The attacker repeats until the victim contract is drained or the transaction runs out of gas.</w:t>
      </w:r>
    </w:p>
    <w:p>
      <w:pPr>
        <w:pStyle w:val="Heading2"/>
      </w:pPr>
      <w:r>
        <w:t>6(d) Educational exploit</w:t>
      </w:r>
    </w:p>
    <w:p>
      <w:r>
        <w:t>The repository includes contracts/ReentrancyAttacker.sol and scripts/test-reentrancy.mjs. The attacker deposits one test ETH, re-enters from its fallback, and demonstrates on a private Ganache chain that a five-ETH victim balance can be drained. This code is intentionally limited to an isolated local test chain; it must not be used against real contracts or funds.</w:t>
      </w:r>
    </w:p>
    <w:p>
      <w:pPr>
        <w:pStyle w:val="Heading2"/>
      </w:pPr>
      <w:r>
        <w:t>6(e) Prevention</w:t>
      </w:r>
    </w:p>
    <w:p>
      <w:r>
        <w:t>Use checks-effects-interactions: validate the balance, reduce it before making the external call, then call the recipient. Add a nonReentrant mutex, prefer pull payments, use transfer patterns carefully with modern gas rules, and follow the Solidity withdrawal recommendations. The repository also includes SafeVault.sol, which combines state-update-before-call with a reentrancy guard.</w:t>
      </w:r>
    </w:p>
    <w:p>
      <w:pPr>
        <w:pStyle w:val="Heading1"/>
      </w:pPr>
      <w:r>
        <w:t>Evidence and Reproducibility</w:t>
      </w:r>
    </w:p>
    <w:p>
      <w:r>
        <w:t>The accompanying Assignment_Lab3 code folder contains the Solidity sources, package-lock file, and scripts. Run npm ci followed by npm test to reproduce the local HelloWorld, StorageTest, SafeVault and reentrancy checks. Local evidence is clearly labelled and does not claim an unperformed Sepolia deployment.</w:t>
      </w:r>
    </w:p>
    <w:p>
      <w:r>
        <w:t>Sources: Ethereum Yellow Paper (SSTORE gas and EVM semantics), Solidity documentation (data locations, function mutability, ABI and security considerations), Ethereum Foundation documentation for Sepolia, OpenZeppelin security guidance, and Etherscan Gas Tracker. Accessed October 16, 2026.</w:t>
      </w:r>
    </w:p>
    <w:p>
      <w:r>
        <w:t>Reference URLs: https://ethereum.github.io/yellowpaper/paper.pdf; https://docs.soliditylang.org/en/latest/types.html; https://docs.soliditylang.org/en/latest/contracts.html; https://ethereum.org/en/developers/docs/networks/; https://docs.openzeppelin.com/contracts/4.x/api/security; https://etherscan.io/gastracker.</w:t>
      </w:r>
    </w:p>
    <w:p>
      <w:pPr>
        <w:pStyle w:val="Heading1"/>
      </w:pPr>
      <w:r>
        <w:t>Statement of Effort and AI Assistance</w:t>
      </w:r>
    </w:p>
    <w:p>
      <w:r>
        <w:t>I disclose the use of ChatGPT/Codex to interpret the assignment, draft explanations, develop and revise the accompanying code, and assist with automated local testing and document preparation. I reviewed the report and code, tested the local DApp and contracts, and take responsibility for the work submitted and for following the course policy on permitted assistance.</w:t>
      </w:r>
    </w:p>
    <w:p>
      <w:r>
        <w:t>Signature: Hua Yujing    Date: October 16,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等线"/>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等线"/>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等线"/>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等线"/>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