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aad2wp7gy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CZĘŚĆ III: Zjawiska grupowe, anomalie i sprzężenia zwrotne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zaczął od obserwacji, że liście w grupach nie reagują jak pojedyncze jednostki, ale tworzą złożone wzorce reakcji. Eksperymenty z 1987 roku, nazywane Eksperymentem Lustrzanym, pokazały, że reakcja jednego liścia wywołuje sekwencję wtórnych reakcji w liściach sąsiednich, nawet gdy nie były one bezpośrednio eksponowane na drgania. Rozchodzenie się sygnału przypominało falę, która przechodzi przez całą populację liści, a intensywność reakcji była modulowana zarówno wielkością liści, jak i wilgotnością podłoża.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Fala Empatyczna ujawniała, że wtórne reakcje mogą same inicjować kolejne reakcje w dalszych liściach, tworząc efekt lawinowy. Subsoniczne rytmy metaboliczne populacji liści synchronizowały się w tym procesie, a liście reagujące wcześniej wpływały na tempo reakcji innych, większych liści, które zazwyczaj reagowały wolniej, ale z wyższą amplitudą enzymatyczną. W notatkach pojawiło się pojęcie Paradoksu Liściowego – większe liście reagują wolniej, lecz silniej, a mniejsze szybciej, ale mniej intensywnie.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omawiał też efekt kumulacji grupowej – powtarzające się, krótkie drgania zwiększały intensywność reakcji całej populacji. Stwierdzono, że jeśli drgania były nieregularne, reakcja stawała się nieskoordynowana, co prowadziło do częściowego wyłączenia liści w strefach ciszy subsonicznej, gdzie liście praktycznie nie reagowały na żadne drgania.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Neuroakustyczne sprzężenie zwrotne opisywało sytuacje, w których reakcja jednej rośliny wzmacniała własne drgania, jednocześnie powodując zwiększenie synchronizacji w całej grupie. Efekt senności liścia pojawiał się w wyniku długotrwałego pobudzenia, gdy powtarzające się drgania prowadziły do spowolnienia reakcji enzymatycznych, a niektóre liście w grupie przestawały reagować całkowicie, co blokowało propagację fali reakcji.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Profesor podkreślał, że anomalie w populacjach liści nie są przypadkowe. Fale antyresonansowe, strefy ciszy i opóźnienia w reakcji tworzyły naturalne mechanizmy ochrony populacji przed nadmiernym pobudzeniem. Subsoniczna holografia liści pozwalała wizualizować te interakcje, ukazując w trójwymiarze propagację neurofitonów i sekwencje aktywacji enzymów w całej grupie.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 tym kontekście pojawiła się także obserwacja Foni Adaptacyjnej – liście, które wcześniej były eksponowane na określone wzorce drgań, reagowały szybciej i bardziej synchronicznie. Synchronizacja grupowa ujawniała również zjawiska związane z modulacją rytmów metabolicznych, gdzie powtarzające się fale wibracji wywoływały cykliczne wahania aktywności enzymatycznej, a liście starsze i młodsze różnicowały reakcję.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CZĘŚĆ III kończyła się wnioskiem, że reakcje grupowe liści mięsożernych tworzą system dynamiczny – nieprzewidywalny w szczegółach, ale podlegający ogólnym prawom propagacji fal subsonicznych, adaptacji i sprzężeń zwrotnych. Te obserwacje pozwalają przewidywać, które liście w populacji inicjują reakcje, a które pozostają pasywne w zależności od historii drgań, struktury nerwowej liści i wilgotności podłoża.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