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83C71AD" w:rsidRDefault="083C71AD" w14:paraId="1B0EB83F" w14:textId="3E0FA061">
      <w:r w:rsidR="083C71AD">
        <w:rPr/>
        <w:t xml:space="preserve">FIC del grupo Aval que más hacen crecer su cuota de mercado </w:t>
      </w:r>
    </w:p>
    <w:p w:rsidR="00BB75D6" w:rsidRDefault="007A1437" w14:paraId="3BE898AF" w14:textId="25EAB581">
      <w:r>
        <w:rPr>
          <w:noProof/>
        </w:rPr>
        <w:drawing>
          <wp:inline distT="0" distB="0" distL="0" distR="0" wp14:anchorId="4EBE02C5" wp14:editId="2FC65306">
            <wp:extent cx="5612130" cy="2458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5D" w:rsidRDefault="000220B7" w14:paraId="79D1F4E9" w14:textId="285DBC3C">
      <w:r>
        <w:t xml:space="preserve">Se puede ver que el tipo de participación que más crece </w:t>
      </w:r>
      <w:r w:rsidR="00AE7A5D">
        <w:t>son la TP7 y TP3</w:t>
      </w:r>
    </w:p>
    <w:p w:rsidR="000220B7" w:rsidRDefault="000220B7" w14:paraId="0387985C" w14:textId="666BE571">
      <w:r>
        <w:t xml:space="preserve">TP7: </w:t>
      </w:r>
      <w:proofErr w:type="spellStart"/>
      <w:r>
        <w:t>Admon</w:t>
      </w:r>
      <w:proofErr w:type="spellEnd"/>
      <w:r>
        <w:t xml:space="preserve"> III que tiene 5 inversionistas con una Inversión mínima de 34,177,000,000 $COP.</w:t>
      </w:r>
    </w:p>
    <w:p w:rsidRPr="00C91DEC" w:rsidR="00C91DEC" w:rsidP="00C91DEC" w:rsidRDefault="007A1437" w14:paraId="78485FC8" w14:textId="5960DA99">
      <w:pPr>
        <w:rPr>
          <w:rFonts w:ascii="Calibri" w:hAnsi="Calibri" w:eastAsia="Times New Roman" w:cs="Calibri"/>
          <w:color w:val="000000"/>
          <w:lang w:eastAsia="es-CO"/>
        </w:rPr>
      </w:pPr>
      <w:r>
        <w:t>Respecto al 31/01/2022 que tenían 7 inversionistas ha aumentado 329,277,311,747</w:t>
      </w:r>
      <w:r w:rsidR="009543FD">
        <w:t>(</w:t>
      </w:r>
      <w:r w:rsidR="00B13E71">
        <w:t>crecimiento anual=</w:t>
      </w:r>
      <w:r w:rsidR="009543FD">
        <w:t>27.22%)</w:t>
      </w:r>
      <w:r>
        <w:br/>
      </w:r>
      <w:r>
        <w:t>Respecto al 31/08/2022 que tenían 5 inversionistas ha aumentado</w:t>
      </w:r>
      <w:r w:rsidRPr="00C91DEC" w:rsidR="00C91DEC">
        <w:rPr>
          <w:rFonts w:ascii="Calibri" w:hAnsi="Calibri" w:eastAsia="Times New Roman" w:cs="Calibri"/>
          <w:color w:val="000000"/>
          <w:lang w:eastAsia="es-CO"/>
        </w:rPr>
        <w:t xml:space="preserve"> 9,870,234,998.80 </w:t>
      </w:r>
    </w:p>
    <w:p w:rsidR="00D07253" w:rsidP="00D07253" w:rsidRDefault="00D07253" w14:paraId="04EFAC57" w14:textId="79FE5B3A">
      <w:r>
        <w:t>TP</w:t>
      </w:r>
      <w:r>
        <w:t>8</w:t>
      </w:r>
      <w:r>
        <w:t xml:space="preserve">: </w:t>
      </w:r>
      <w:r>
        <w:t xml:space="preserve">Inversionista profesional </w:t>
      </w:r>
      <w:r>
        <w:t xml:space="preserve">que tiene </w:t>
      </w:r>
      <w:r>
        <w:t>117</w:t>
      </w:r>
      <w:r>
        <w:t xml:space="preserve"> inversionistas con una Inversión mínima de </w:t>
      </w:r>
      <w:r>
        <w:t>1</w:t>
      </w:r>
      <w:r>
        <w:t>00,000$COP.</w:t>
      </w:r>
    </w:p>
    <w:p w:rsidRPr="008E3028" w:rsidR="008E3028" w:rsidP="008E3028" w:rsidRDefault="00D07253" w14:paraId="01EDDF2A" w14:textId="2BEF944D">
      <w:pPr>
        <w:rPr>
          <w:rFonts w:ascii="Calibri" w:hAnsi="Calibri" w:eastAsia="Times New Roman" w:cs="Calibri"/>
          <w:color w:val="000000"/>
          <w:lang w:eastAsia="es-CO"/>
        </w:rPr>
      </w:pPr>
      <w:r>
        <w:t xml:space="preserve">Respecto al 31/01/2022 que tenían </w:t>
      </w:r>
      <w:r w:rsidR="008E3028">
        <w:t>103</w:t>
      </w:r>
      <w:r>
        <w:t xml:space="preserve"> inversionistas ha aumentado</w:t>
      </w:r>
      <w:r w:rsidR="008E3028"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8E3028" w:rsidR="008E3028">
        <w:rPr>
          <w:rFonts w:ascii="Calibri" w:hAnsi="Calibri" w:eastAsia="Times New Roman" w:cs="Calibri"/>
          <w:color w:val="000000"/>
          <w:lang w:eastAsia="es-CO"/>
        </w:rPr>
        <w:t>120,319,923,151.51</w:t>
      </w:r>
      <w:r w:rsidR="009543FD">
        <w:rPr>
          <w:rFonts w:ascii="Calibri" w:hAnsi="Calibri" w:eastAsia="Times New Roman" w:cs="Calibri"/>
          <w:color w:val="000000"/>
          <w:lang w:eastAsia="es-CO"/>
        </w:rPr>
        <w:t>(</w:t>
      </w:r>
      <w:r w:rsidRPr="009543FD" w:rsidR="009543FD">
        <w:rPr>
          <w:rFonts w:ascii="Calibri" w:hAnsi="Calibri" w:eastAsia="Times New Roman" w:cs="Calibri"/>
          <w:color w:val="000000"/>
          <w:lang w:eastAsia="es-CO"/>
        </w:rPr>
        <w:t>88.39%</w:t>
      </w:r>
      <w:r w:rsidR="009543FD">
        <w:rPr>
          <w:rFonts w:ascii="Calibri" w:hAnsi="Calibri" w:eastAsia="Times New Roman" w:cs="Calibri"/>
          <w:color w:val="000000"/>
          <w:lang w:eastAsia="es-CO"/>
        </w:rPr>
        <w:t>)</w:t>
      </w:r>
      <w:r w:rsidRPr="008E3028" w:rsidR="008E3028">
        <w:rPr>
          <w:rFonts w:ascii="Calibri" w:hAnsi="Calibri" w:eastAsia="Times New Roman" w:cs="Calibri"/>
          <w:color w:val="000000"/>
          <w:lang w:eastAsia="es-CO"/>
        </w:rPr>
        <w:t xml:space="preserve"> </w:t>
      </w:r>
      <w:r>
        <w:br/>
      </w:r>
      <w:r>
        <w:t xml:space="preserve">Respecto al 31/08/2022 que tenían </w:t>
      </w:r>
      <w:r w:rsidR="008E3028">
        <w:t>114</w:t>
      </w:r>
      <w:r>
        <w:t xml:space="preserve"> inversionistas ha aumentado</w:t>
      </w:r>
      <w:r w:rsidRPr="008E3028" w:rsidR="008E3028">
        <w:rPr>
          <w:rFonts w:ascii="Calibri" w:hAnsi="Calibri" w:eastAsia="Times New Roman" w:cs="Calibri"/>
          <w:color w:val="000000"/>
          <w:lang w:eastAsia="es-CO"/>
        </w:rPr>
        <w:t xml:space="preserve"> 121,830,436,964.67 </w:t>
      </w:r>
    </w:p>
    <w:p w:rsidRPr="00C91DEC" w:rsidR="00D07253" w:rsidP="00D07253" w:rsidRDefault="00D07253" w14:paraId="79B34A29" w14:textId="1FA00DA3">
      <w:pPr>
        <w:rPr>
          <w:rFonts w:ascii="Calibri" w:hAnsi="Calibri" w:eastAsia="Times New Roman" w:cs="Calibri"/>
          <w:color w:val="000000"/>
          <w:lang w:eastAsia="es-CO"/>
        </w:rPr>
      </w:pPr>
    </w:p>
    <w:p w:rsidR="007A1437" w:rsidRDefault="007A1437" w14:paraId="544E1F34" w14:textId="61C9C465"/>
    <w:p w:rsidR="00AE7A5D" w:rsidRDefault="00AE7A5D" w14:paraId="56329A9D" w14:textId="57A5FE82">
      <w:r>
        <w:t xml:space="preserve">TP3: </w:t>
      </w:r>
      <w:proofErr w:type="spellStart"/>
      <w:r>
        <w:t>Inv</w:t>
      </w:r>
      <w:proofErr w:type="spellEnd"/>
      <w:r>
        <w:t xml:space="preserve"> III que tiene 30</w:t>
      </w:r>
      <w:r w:rsidR="00C91DEC">
        <w:t>3</w:t>
      </w:r>
      <w:r>
        <w:t xml:space="preserve"> inversionistas y una </w:t>
      </w:r>
      <w:r>
        <w:t>Inversión mínima de</w:t>
      </w:r>
      <w:r>
        <w:t xml:space="preserve"> 291,000,000 $COP</w:t>
      </w:r>
    </w:p>
    <w:p w:rsidR="00C91DEC" w:rsidP="00C91DEC" w:rsidRDefault="00C91DEC" w14:paraId="444B0267" w14:textId="42143974">
      <w:pPr>
        <w:rPr>
          <w:rFonts w:ascii="Calibri" w:hAnsi="Calibri" w:eastAsia="Times New Roman" w:cs="Calibri"/>
          <w:color w:val="000000"/>
          <w:lang w:eastAsia="es-CO"/>
        </w:rPr>
      </w:pPr>
      <w:r>
        <w:t xml:space="preserve">Respecto al 31/01/2022 que tenían </w:t>
      </w:r>
      <w:r>
        <w:t>26</w:t>
      </w:r>
      <w:r>
        <w:t>7 inversionistas ha aumentado</w:t>
      </w:r>
      <w:r w:rsidRPr="00C91DEC">
        <w:rPr>
          <w:rFonts w:ascii="Calibri" w:hAnsi="Calibri" w:eastAsia="Times New Roman" w:cs="Calibri"/>
          <w:color w:val="000000"/>
          <w:lang w:eastAsia="es-CO"/>
        </w:rPr>
        <w:t xml:space="preserve"> 156,328,855,846.32</w:t>
      </w:r>
      <w:r w:rsidR="009543FD">
        <w:rPr>
          <w:rFonts w:ascii="Calibri" w:hAnsi="Calibri" w:eastAsia="Times New Roman" w:cs="Calibri"/>
          <w:color w:val="000000"/>
          <w:lang w:eastAsia="es-CO"/>
        </w:rPr>
        <w:t>(</w:t>
      </w:r>
      <w:r w:rsidRPr="009543FD" w:rsidR="009543FD">
        <w:rPr>
          <w:rFonts w:ascii="Calibri" w:hAnsi="Calibri" w:eastAsia="Times New Roman" w:cs="Calibri"/>
          <w:color w:val="000000"/>
          <w:lang w:eastAsia="es-CO"/>
        </w:rPr>
        <w:t>68.38%</w:t>
      </w:r>
      <w:r w:rsidR="009543FD">
        <w:rPr>
          <w:rFonts w:ascii="Calibri" w:hAnsi="Calibri" w:eastAsia="Times New Roman" w:cs="Calibri"/>
          <w:color w:val="000000"/>
          <w:lang w:eastAsia="es-CO"/>
        </w:rPr>
        <w:t>)</w:t>
      </w:r>
      <w:r w:rsidRPr="00C91DEC">
        <w:rPr>
          <w:rFonts w:ascii="Calibri" w:hAnsi="Calibri" w:eastAsia="Times New Roman" w:cs="Calibri"/>
          <w:color w:val="000000"/>
          <w:lang w:eastAsia="es-CO"/>
        </w:rPr>
        <w:t xml:space="preserve"> </w:t>
      </w:r>
      <w:r>
        <w:br/>
      </w:r>
      <w:r>
        <w:t xml:space="preserve">Respecto al 31/08/2022 que tenían </w:t>
      </w:r>
      <w:r>
        <w:t>306</w:t>
      </w:r>
      <w:r>
        <w:t xml:space="preserve"> inversionistas ha aumentado</w:t>
      </w:r>
      <w:r w:rsidRPr="00C91DEC">
        <w:rPr>
          <w:rFonts w:ascii="Calibri" w:hAnsi="Calibri" w:eastAsia="Times New Roman" w:cs="Calibri"/>
          <w:color w:val="000000"/>
          <w:lang w:eastAsia="es-CO"/>
        </w:rPr>
        <w:t xml:space="preserve"> 6,029,474,803.89 </w:t>
      </w:r>
    </w:p>
    <w:p w:rsidRPr="00C91DEC" w:rsidR="00D07253" w:rsidP="00C91DEC" w:rsidRDefault="000F73C7" w14:paraId="24C78590" w14:textId="6365C1B7">
      <w:pPr>
        <w:rPr>
          <w:rFonts w:ascii="Calibri" w:hAnsi="Calibri" w:eastAsia="Times New Roman" w:cs="Calibri"/>
          <w:color w:val="000000"/>
          <w:lang w:eastAsia="es-CO"/>
        </w:rPr>
      </w:pPr>
      <w:r>
        <w:rPr>
          <w:noProof/>
        </w:rPr>
        <w:lastRenderedPageBreak/>
        <w:drawing>
          <wp:inline distT="0" distB="0" distL="0" distR="0" wp14:anchorId="51C57587" wp14:editId="5B5CD14F">
            <wp:extent cx="5612130" cy="27178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C7" w:rsidP="000F73C7" w:rsidRDefault="000F73C7" w14:paraId="12D6A256" w14:textId="228B6A14">
      <w:r>
        <w:t>TP</w:t>
      </w:r>
      <w:r w:rsidR="0094605A">
        <w:t xml:space="preserve">9: </w:t>
      </w:r>
      <w:proofErr w:type="spellStart"/>
      <w:r w:rsidR="0094605A">
        <w:t>Admon</w:t>
      </w:r>
      <w:proofErr w:type="spellEnd"/>
      <w:r w:rsidR="0094605A">
        <w:t xml:space="preserve"> III que tiene </w:t>
      </w:r>
      <w:r w:rsidR="0094605A">
        <w:t>3</w:t>
      </w:r>
      <w:r w:rsidR="0094605A">
        <w:t xml:space="preserve"> inversionistas con una Inversión mínima de 34,177,000,000 $COP.</w:t>
      </w:r>
    </w:p>
    <w:p w:rsidRPr="0094605A" w:rsidR="0094605A" w:rsidP="0094605A" w:rsidRDefault="000F73C7" w14:paraId="6B81733F" w14:textId="3705D878">
      <w:pPr>
        <w:rPr>
          <w:rFonts w:ascii="Calibri" w:hAnsi="Calibri" w:eastAsia="Times New Roman" w:cs="Calibri"/>
          <w:color w:val="000000"/>
          <w:lang w:eastAsia="es-CO"/>
        </w:rPr>
      </w:pPr>
      <w:r>
        <w:t xml:space="preserve">Respecto al 31/01/2022 que tenían </w:t>
      </w:r>
      <w:r w:rsidR="0094605A">
        <w:t>2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94605A" w:rsidR="0094605A">
        <w:rPr>
          <w:rFonts w:ascii="Calibri" w:hAnsi="Calibri" w:eastAsia="Times New Roman" w:cs="Calibri"/>
          <w:color w:val="000000"/>
          <w:lang w:eastAsia="es-CO"/>
        </w:rPr>
        <w:t>511,674,646,623.74</w:t>
      </w:r>
      <w:r w:rsidR="009543FD">
        <w:rPr>
          <w:rFonts w:ascii="Calibri" w:hAnsi="Calibri" w:eastAsia="Times New Roman" w:cs="Calibri"/>
          <w:color w:val="000000"/>
          <w:lang w:eastAsia="es-CO"/>
        </w:rPr>
        <w:t>(418.75%)</w:t>
      </w:r>
      <w:r>
        <w:br/>
      </w:r>
      <w:r>
        <w:t xml:space="preserve">Respecto al 31/08/2022 que tenían </w:t>
      </w:r>
      <w:r w:rsidR="0094605A">
        <w:t>3</w:t>
      </w:r>
      <w:r>
        <w:t xml:space="preserve"> inversionistas ha aumentado</w:t>
      </w:r>
      <w:r w:rsidR="0094605A"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94605A" w:rsidR="0094605A">
        <w:rPr>
          <w:rFonts w:ascii="Calibri" w:hAnsi="Calibri" w:eastAsia="Times New Roman" w:cs="Calibri"/>
          <w:color w:val="000000"/>
          <w:lang w:eastAsia="es-CO"/>
        </w:rPr>
        <w:t xml:space="preserve">154,450,022,890.44 </w:t>
      </w:r>
    </w:p>
    <w:p w:rsidRPr="00C91DEC" w:rsidR="00C91DEC" w:rsidP="000F73C7" w:rsidRDefault="003C0DEA" w14:paraId="68594D23" w14:textId="0E5B3CC5">
      <w:pPr>
        <w:rPr>
          <w:rFonts w:ascii="Calibri" w:hAnsi="Calibri" w:eastAsia="Times New Roman" w:cs="Calibri"/>
          <w:color w:val="000000"/>
          <w:lang w:eastAsia="es-CO"/>
        </w:rPr>
      </w:pPr>
      <w:r>
        <w:rPr>
          <w:noProof/>
        </w:rPr>
        <w:drawing>
          <wp:inline distT="0" distB="0" distL="0" distR="0" wp14:anchorId="5D36FF7F" wp14:editId="21A89860">
            <wp:extent cx="5612130" cy="24422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EA" w:rsidP="003C0DEA" w:rsidRDefault="003C0DEA" w14:paraId="68865810" w14:textId="7C9BAE67">
      <w:r>
        <w:t>Tipo de participación única</w:t>
      </w:r>
      <w:r>
        <w:t xml:space="preserve"> que tiene </w:t>
      </w:r>
      <w:r>
        <w:t>52</w:t>
      </w:r>
      <w:r>
        <w:t xml:space="preserve"> inversionistas con una Inversión mínima de </w:t>
      </w:r>
      <w:r>
        <w:t>50</w:t>
      </w:r>
      <w:r>
        <w:t>,000,000$COP.</w:t>
      </w:r>
    </w:p>
    <w:p w:rsidR="003C0DEA" w:rsidP="003C0DEA" w:rsidRDefault="003C0DEA" w14:paraId="63EEB7B0" w14:textId="7091CD1A">
      <w:pPr>
        <w:rPr>
          <w:rFonts w:ascii="Calibri" w:hAnsi="Calibri" w:eastAsia="Times New Roman" w:cs="Calibri"/>
          <w:color w:val="000000"/>
          <w:lang w:eastAsia="es-CO"/>
        </w:rPr>
      </w:pPr>
      <w:r>
        <w:t>Respecto al 31/0</w:t>
      </w:r>
      <w:r w:rsidR="00B061A0">
        <w:t>1</w:t>
      </w:r>
      <w:r>
        <w:t xml:space="preserve">/2022 que tenían </w:t>
      </w:r>
      <w:r w:rsidR="00B061A0">
        <w:t>0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3C0DEA">
        <w:rPr>
          <w:rFonts w:ascii="Calibri" w:hAnsi="Calibri" w:eastAsia="Times New Roman" w:cs="Calibri"/>
          <w:color w:val="000000"/>
          <w:lang w:eastAsia="es-CO"/>
        </w:rPr>
        <w:t>999,509,366,443.29</w:t>
      </w:r>
      <w:r w:rsidR="00B061A0">
        <w:rPr>
          <w:rFonts w:ascii="Calibri" w:hAnsi="Calibri" w:eastAsia="Times New Roman" w:cs="Calibri"/>
          <w:color w:val="000000"/>
          <w:lang w:eastAsia="es-CO"/>
        </w:rPr>
        <w:br/>
      </w:r>
      <w:r w:rsidR="00B061A0">
        <w:t>Respecto al 31/0</w:t>
      </w:r>
      <w:r w:rsidR="00B061A0">
        <w:t>3</w:t>
      </w:r>
      <w:r w:rsidR="00B061A0">
        <w:t xml:space="preserve">/2022 que tenían </w:t>
      </w:r>
      <w:r w:rsidR="00B061A0">
        <w:t>9</w:t>
      </w:r>
      <w:r w:rsidR="00B061A0">
        <w:t xml:space="preserve"> inversionistas ha aumentado</w:t>
      </w:r>
      <w:r w:rsidR="00B061A0"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B061A0" w:rsidR="00B061A0">
        <w:rPr>
          <w:rFonts w:ascii="Calibri" w:hAnsi="Calibri" w:eastAsia="Times New Roman" w:cs="Calibri"/>
          <w:color w:val="000000"/>
          <w:lang w:eastAsia="es-CO"/>
        </w:rPr>
        <w:t>648,994,160,545.04</w:t>
      </w:r>
      <w:r w:rsidR="009543FD">
        <w:rPr>
          <w:rFonts w:ascii="Calibri" w:hAnsi="Calibri" w:eastAsia="Times New Roman" w:cs="Calibri"/>
          <w:color w:val="000000"/>
          <w:lang w:eastAsia="es-CO"/>
        </w:rPr>
        <w:t>(185.15%)</w:t>
      </w:r>
      <w:r>
        <w:br/>
      </w:r>
      <w:r>
        <w:t xml:space="preserve">Respecto al 31/08/2022 que tenían </w:t>
      </w:r>
      <w:r w:rsidR="00B061A0">
        <w:t>2</w:t>
      </w:r>
      <w:r>
        <w:t>3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3C0DEA">
        <w:rPr>
          <w:rFonts w:ascii="Calibri" w:hAnsi="Calibri" w:eastAsia="Times New Roman" w:cs="Calibri"/>
          <w:color w:val="000000"/>
          <w:lang w:eastAsia="es-CO"/>
        </w:rPr>
        <w:t xml:space="preserve">38,456,172,002.80 </w:t>
      </w:r>
    </w:p>
    <w:p w:rsidR="00B061A0" w:rsidP="003C0DEA" w:rsidRDefault="00B061A0" w14:paraId="1E5533BF" w14:textId="77777777">
      <w:pPr>
        <w:rPr>
          <w:rFonts w:ascii="Calibri" w:hAnsi="Calibri" w:eastAsia="Times New Roman" w:cs="Calibri"/>
          <w:color w:val="000000"/>
          <w:lang w:eastAsia="es-CO"/>
        </w:rPr>
      </w:pPr>
    </w:p>
    <w:p w:rsidR="003C0DEA" w:rsidP="003C0DEA" w:rsidRDefault="00296D56" w14:paraId="3923A129" w14:textId="4DA9B985">
      <w:pPr>
        <w:rPr>
          <w:rFonts w:ascii="Calibri" w:hAnsi="Calibri" w:eastAsia="Times New Roman" w:cs="Calibri"/>
          <w:color w:val="000000"/>
          <w:lang w:eastAsia="es-CO"/>
        </w:rPr>
      </w:pPr>
      <w:r>
        <w:rPr>
          <w:noProof/>
        </w:rPr>
        <w:lastRenderedPageBreak/>
        <w:drawing>
          <wp:inline distT="0" distB="0" distL="0" distR="0" wp14:anchorId="2D128AD8" wp14:editId="597737EF">
            <wp:extent cx="5612130" cy="23177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56" w:rsidP="00296D56" w:rsidRDefault="00296D56" w14:paraId="11ECE5E5" w14:textId="14CA8A36">
      <w:r>
        <w:t xml:space="preserve">Tipo de participación única que tiene </w:t>
      </w:r>
      <w:r>
        <w:t>121</w:t>
      </w:r>
      <w:r>
        <w:t xml:space="preserve"> inversionistas con una Inversión mínima de </w:t>
      </w:r>
      <w:r>
        <w:t>1</w:t>
      </w:r>
      <w:r>
        <w:t>,000,000$COP.</w:t>
      </w:r>
    </w:p>
    <w:p w:rsidR="00296D56" w:rsidP="00296D56" w:rsidRDefault="00296D56" w14:paraId="4554A7F0" w14:textId="44EF9E3C">
      <w:pPr>
        <w:rPr>
          <w:rFonts w:ascii="Calibri" w:hAnsi="Calibri" w:eastAsia="Times New Roman" w:cs="Calibri"/>
          <w:color w:val="000000"/>
          <w:lang w:eastAsia="es-CO"/>
        </w:rPr>
      </w:pPr>
      <w:r>
        <w:t xml:space="preserve">Respecto al 31/01/2022 que tenían </w:t>
      </w:r>
      <w:r>
        <w:t>121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296D56">
        <w:rPr>
          <w:rFonts w:ascii="Calibri" w:hAnsi="Calibri" w:eastAsia="Times New Roman" w:cs="Calibri"/>
          <w:color w:val="000000"/>
          <w:lang w:eastAsia="es-CO"/>
        </w:rPr>
        <w:t xml:space="preserve">305,298,117,706.28 </w:t>
      </w:r>
      <w:r>
        <w:br/>
      </w:r>
      <w:r>
        <w:t xml:space="preserve">Respecto al 31/08/2022 que tenían </w:t>
      </w:r>
      <w:r>
        <w:t>120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296D56">
        <w:rPr>
          <w:rFonts w:ascii="Calibri" w:hAnsi="Calibri" w:eastAsia="Times New Roman" w:cs="Calibri"/>
          <w:color w:val="000000"/>
          <w:lang w:eastAsia="es-CO"/>
        </w:rPr>
        <w:t>286,515,316,220.69</w:t>
      </w:r>
    </w:p>
    <w:p w:rsidR="00296D56" w:rsidP="00296D56" w:rsidRDefault="00296D56" w14:paraId="37964B93" w14:textId="08FAD56A">
      <w:pPr>
        <w:rPr>
          <w:rFonts w:ascii="Calibri" w:hAnsi="Calibri" w:eastAsia="Times New Roman" w:cs="Calibri"/>
          <w:color w:val="000000"/>
          <w:lang w:eastAsia="es-CO"/>
        </w:rPr>
      </w:pPr>
      <w:r>
        <w:rPr>
          <w:noProof/>
        </w:rPr>
        <w:drawing>
          <wp:inline distT="0" distB="0" distL="0" distR="0" wp14:anchorId="4006DCB2" wp14:editId="1B0E26FF">
            <wp:extent cx="5612130" cy="26866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08" w:rsidP="00C25A08" w:rsidRDefault="00C25A08" w14:paraId="2193C831" w14:textId="4A07AD92">
      <w:r>
        <w:rPr>
          <w:rFonts w:ascii="Calibri" w:hAnsi="Calibri" w:eastAsia="Times New Roman" w:cs="Calibri"/>
          <w:color w:val="000000"/>
          <w:lang w:eastAsia="es-CO"/>
        </w:rPr>
        <w:t xml:space="preserve">TP3: Especial Cerrada </w:t>
      </w:r>
      <w:r>
        <w:t>que tiene 1</w:t>
      </w:r>
      <w:r>
        <w:t>05</w:t>
      </w:r>
      <w:r>
        <w:t xml:space="preserve"> inversionistas con una Inversión mínima de </w:t>
      </w:r>
      <w:r>
        <w:t>2</w:t>
      </w:r>
      <w:r>
        <w:t>00,000$COP.</w:t>
      </w:r>
    </w:p>
    <w:p w:rsidRPr="00C25A08" w:rsidR="00C25A08" w:rsidP="00C25A08" w:rsidRDefault="00C25A08" w14:paraId="6F92132C" w14:textId="648EC1DD">
      <w:pPr>
        <w:rPr>
          <w:rFonts w:ascii="Calibri" w:hAnsi="Calibri" w:eastAsia="Times New Roman" w:cs="Calibri"/>
          <w:color w:val="000000"/>
          <w:lang w:eastAsia="es-CO"/>
        </w:rPr>
      </w:pPr>
      <w:r>
        <w:t>Respecto a</w:t>
      </w:r>
      <w:r>
        <w:t xml:space="preserve"> la primera fecha de corte del año</w:t>
      </w:r>
      <w:r>
        <w:t xml:space="preserve"> 31/01/2022 que tenían 12</w:t>
      </w:r>
      <w:r>
        <w:t>0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C25A08">
        <w:rPr>
          <w:rFonts w:ascii="Calibri" w:hAnsi="Calibri" w:eastAsia="Times New Roman" w:cs="Calibri"/>
          <w:color w:val="000000"/>
          <w:lang w:eastAsia="es-CO"/>
        </w:rPr>
        <w:t>245,102,199,876.68</w:t>
      </w:r>
      <w:r w:rsidR="00B13E71">
        <w:rPr>
          <w:rFonts w:ascii="Calibri" w:hAnsi="Calibri" w:eastAsia="Times New Roman" w:cs="Calibri"/>
          <w:color w:val="000000"/>
          <w:lang w:eastAsia="es-CO"/>
        </w:rPr>
        <w:t>(</w:t>
      </w:r>
      <w:r w:rsidRPr="00B13E71" w:rsidR="00B13E71">
        <w:rPr>
          <w:rFonts w:ascii="Calibri" w:hAnsi="Calibri" w:eastAsia="Times New Roman" w:cs="Calibri"/>
          <w:color w:val="000000"/>
          <w:lang w:eastAsia="es-CO"/>
        </w:rPr>
        <w:t>41.13%</w:t>
      </w:r>
      <w:r w:rsidR="00B13E71">
        <w:rPr>
          <w:rFonts w:ascii="Calibri" w:hAnsi="Calibri" w:eastAsia="Times New Roman" w:cs="Calibri"/>
          <w:color w:val="000000"/>
          <w:lang w:eastAsia="es-CO"/>
        </w:rPr>
        <w:t>)</w:t>
      </w:r>
      <w:r>
        <w:br/>
      </w:r>
      <w:r>
        <w:t>Respecto al 31/08/2022 que tenían 1</w:t>
      </w:r>
      <w:r>
        <w:t>05</w:t>
      </w:r>
      <w:r>
        <w:t xml:space="preserve"> inversionistas ha aumentado</w:t>
      </w:r>
      <w:r>
        <w:rPr>
          <w:rFonts w:ascii="Calibri" w:hAnsi="Calibri" w:eastAsia="Times New Roman" w:cs="Calibri"/>
          <w:color w:val="000000"/>
          <w:lang w:eastAsia="es-CO"/>
        </w:rPr>
        <w:t xml:space="preserve"> </w:t>
      </w:r>
      <w:r w:rsidRPr="00C25A08">
        <w:rPr>
          <w:rFonts w:ascii="Calibri" w:hAnsi="Calibri" w:eastAsia="Times New Roman" w:cs="Calibri"/>
          <w:color w:val="000000"/>
          <w:lang w:eastAsia="es-CO"/>
        </w:rPr>
        <w:t xml:space="preserve">2,048,608,665.07 </w:t>
      </w:r>
    </w:p>
    <w:p w:rsidR="00872B54" w:rsidP="00872B54" w:rsidRDefault="00B061A0" w14:paraId="4018DFE5" w14:textId="7C4B3E2B">
      <w:pPr>
        <w:rPr>
          <w:rFonts w:ascii="Calibri" w:hAnsi="Calibri" w:eastAsia="Times New Roman" w:cs="Calibri"/>
          <w:color w:val="000000"/>
          <w:lang w:eastAsia="es-CO"/>
        </w:rPr>
      </w:pPr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>Se pudo determinar que</w:t>
      </w:r>
      <w:r w:rsidRPr="5BEAEF55" w:rsidR="00872B54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los FIC(Tipo general y Mercado Monetario) del Grupo Aval</w:t>
      </w:r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se tienen grandes cifras de dinero en </w:t>
      </w:r>
      <w:proofErr w:type="spellStart"/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>profit</w:t>
      </w:r>
      <w:proofErr w:type="spellEnd"/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sin la necesidad de un aumento significativo de inversionistas, excepto en CORFICOLOMBIANA_</w:t>
      </w:r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>F.I.C. A. LIQUIDEZ 1525 PLUS</w:t>
      </w:r>
      <w:r w:rsidRPr="5BEAEF55" w:rsidR="00B061A0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que inició operaciones este año y es el único con un aumento considerable de inversionistas de 9 a 52 actualmente, aun así manteniendo la misma tendencia de que se inyectan grandes de dinero en el mercado porque con los 52 inversionistas que tienen actualmente tienen un valor del FIC</w:t>
      </w:r>
      <w:r w:rsidRPr="5BEAEF55" w:rsidR="00872B54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de </w:t>
      </w:r>
      <w:r w:rsidRPr="5BEAEF55" w:rsidR="00872B54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>999,509,366,443.29</w:t>
      </w:r>
      <w:r w:rsidRPr="5BEAEF55" w:rsidR="00872B54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$COP.</w:t>
      </w:r>
      <w:r w:rsidRPr="5BEAEF55" w:rsidR="102E5B35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Todos estos fondos</w:t>
      </w:r>
      <w:r w:rsidRPr="5BEAEF55" w:rsidR="102E5B35">
        <w:rPr>
          <w:rFonts w:ascii="Calibri" w:hAnsi="Calibri" w:eastAsia="Times New Roman" w:cs="Calibri"/>
          <w:color w:val="000000" w:themeColor="text1" w:themeTint="FF" w:themeShade="FF"/>
          <w:lang w:eastAsia="es-CO"/>
        </w:rPr>
        <w:t xml:space="preserve"> tienen rentabilidades históricas positivas.</w:t>
      </w:r>
    </w:p>
    <w:p w:rsidRPr="00872B54" w:rsidR="00872B54" w:rsidP="00872B54" w:rsidRDefault="00872B54" w14:paraId="59563155" w14:textId="77777777">
      <w:pPr>
        <w:rPr>
          <w:rFonts w:ascii="Calibri" w:hAnsi="Calibri" w:eastAsia="Times New Roman" w:cs="Calibri"/>
          <w:color w:val="000000"/>
          <w:lang w:eastAsia="es-CO"/>
        </w:rPr>
      </w:pPr>
    </w:p>
    <w:p w:rsidRPr="00B061A0" w:rsidR="00B061A0" w:rsidP="00B061A0" w:rsidRDefault="00B061A0" w14:paraId="02474A15" w14:textId="7F211A29">
      <w:pPr>
        <w:rPr>
          <w:rFonts w:ascii="Calibri" w:hAnsi="Calibri" w:eastAsia="Times New Roman" w:cs="Calibri"/>
          <w:color w:val="000000"/>
          <w:lang w:eastAsia="es-CO"/>
        </w:rPr>
      </w:pPr>
    </w:p>
    <w:p w:rsidRPr="00296D56" w:rsidR="00296D56" w:rsidP="00296D56" w:rsidRDefault="00296D56" w14:paraId="19D9EFA5" w14:textId="79F64199">
      <w:pPr>
        <w:rPr>
          <w:rFonts w:ascii="Calibri" w:hAnsi="Calibri" w:eastAsia="Times New Roman" w:cs="Calibri"/>
          <w:color w:val="000000"/>
          <w:lang w:eastAsia="es-CO"/>
        </w:rPr>
      </w:pPr>
    </w:p>
    <w:p w:rsidR="00296D56" w:rsidP="00296D56" w:rsidRDefault="00296D56" w14:paraId="483C3B36" w14:textId="6F8E9A83">
      <w:pPr>
        <w:rPr>
          <w:rFonts w:ascii="Calibri" w:hAnsi="Calibri" w:eastAsia="Times New Roman" w:cs="Calibri"/>
          <w:color w:val="000000"/>
          <w:lang w:eastAsia="es-CO"/>
        </w:rPr>
      </w:pPr>
    </w:p>
    <w:p w:rsidRPr="003C0DEA" w:rsidR="00296D56" w:rsidP="003C0DEA" w:rsidRDefault="00296D56" w14:paraId="033EFA2A" w14:textId="77777777">
      <w:pPr>
        <w:rPr>
          <w:rFonts w:ascii="Calibri" w:hAnsi="Calibri" w:eastAsia="Times New Roman" w:cs="Calibri"/>
          <w:color w:val="000000"/>
          <w:lang w:eastAsia="es-CO"/>
        </w:rPr>
      </w:pPr>
    </w:p>
    <w:p w:rsidRPr="0094605A" w:rsidR="003C0DEA" w:rsidP="003C0DEA" w:rsidRDefault="003C0DEA" w14:paraId="04ED4D89" w14:textId="03D1E95A">
      <w:pPr>
        <w:rPr>
          <w:rFonts w:ascii="Calibri" w:hAnsi="Calibri" w:eastAsia="Times New Roman" w:cs="Calibri"/>
          <w:color w:val="000000"/>
          <w:lang w:eastAsia="es-CO"/>
        </w:rPr>
      </w:pPr>
    </w:p>
    <w:p w:rsidR="000220B7" w:rsidRDefault="000220B7" w14:paraId="7D419A82" w14:textId="77777777"/>
    <w:sectPr w:rsidR="000220B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3E71" w:rsidP="00B13E71" w:rsidRDefault="00B13E71" w14:paraId="75DB2AB1" w14:textId="77777777">
      <w:pPr>
        <w:spacing w:after="0" w:line="240" w:lineRule="auto"/>
      </w:pPr>
      <w:r>
        <w:separator/>
      </w:r>
    </w:p>
  </w:endnote>
  <w:endnote w:type="continuationSeparator" w:id="0">
    <w:p w:rsidR="00B13E71" w:rsidP="00B13E71" w:rsidRDefault="00B13E71" w14:paraId="508188E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3E71" w:rsidP="00B13E71" w:rsidRDefault="00B13E71" w14:paraId="606F855D" w14:textId="77777777">
      <w:pPr>
        <w:spacing w:after="0" w:line="240" w:lineRule="auto"/>
      </w:pPr>
      <w:r>
        <w:separator/>
      </w:r>
    </w:p>
  </w:footnote>
  <w:footnote w:type="continuationSeparator" w:id="0">
    <w:p w:rsidR="00B13E71" w:rsidP="00B13E71" w:rsidRDefault="00B13E71" w14:paraId="33F0874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6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B7"/>
    <w:rsid w:val="000220B7"/>
    <w:rsid w:val="000F73C7"/>
    <w:rsid w:val="00296D56"/>
    <w:rsid w:val="003C0DEA"/>
    <w:rsid w:val="007A1437"/>
    <w:rsid w:val="00872B54"/>
    <w:rsid w:val="008E3028"/>
    <w:rsid w:val="0094605A"/>
    <w:rsid w:val="009543FD"/>
    <w:rsid w:val="00AE7A5D"/>
    <w:rsid w:val="00B061A0"/>
    <w:rsid w:val="00B13E71"/>
    <w:rsid w:val="00BB75D6"/>
    <w:rsid w:val="00C25A08"/>
    <w:rsid w:val="00C91DEC"/>
    <w:rsid w:val="00D07253"/>
    <w:rsid w:val="06A0A14C"/>
    <w:rsid w:val="083C71AD"/>
    <w:rsid w:val="102E5B35"/>
    <w:rsid w:val="5A14BCCE"/>
    <w:rsid w:val="5BEAEF55"/>
    <w:rsid w:val="5D4F248D"/>
    <w:rsid w:val="7AC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96850"/>
  <w15:chartTrackingRefBased/>
  <w15:docId w15:val="{A377F0C0-5EFC-434A-A12E-B4D962E00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4F728794D1A449A6966790EA0F5318" ma:contentTypeVersion="18" ma:contentTypeDescription="Crear nuevo documento." ma:contentTypeScope="" ma:versionID="7780d6a0f530f4421b640e7d9889cc09">
  <xsd:schema xmlns:xsd="http://www.w3.org/2001/XMLSchema" xmlns:xs="http://www.w3.org/2001/XMLSchema" xmlns:p="http://schemas.microsoft.com/office/2006/metadata/properties" xmlns:ns1="http://schemas.microsoft.com/sharepoint/v3" xmlns:ns2="001229fa-a558-4b16-a3f3-083312a17b67" xmlns:ns3="f8827834-cbdc-47d2-8c72-d55dcfd1ca66" targetNamespace="http://schemas.microsoft.com/office/2006/metadata/properties" ma:root="true" ma:fieldsID="396d40fa01475af2f2a24ce1213fb30c" ns1:_="" ns2:_="" ns3:_="">
    <xsd:import namespace="http://schemas.microsoft.com/sharepoint/v3"/>
    <xsd:import namespace="001229fa-a558-4b16-a3f3-083312a17b67"/>
    <xsd:import namespace="f8827834-cbdc-47d2-8c72-d55dcfd1c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229fa-a558-4b16-a3f3-083312a17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7834-cbdc-47d2-8c72-d55dcfd1c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597d2b8d-a8e5-43a3-afe4-39272339c947}" ma:internalName="TaxCatchAll" ma:showField="CatchAllData" ma:web="f8827834-cbdc-47d2-8c72-d55dcfd1c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761887-5F62-4E59-A6C9-6C2AA7435172}"/>
</file>

<file path=customXml/itemProps2.xml><?xml version="1.0" encoding="utf-8"?>
<ds:datastoreItem xmlns:ds="http://schemas.openxmlformats.org/officeDocument/2006/customXml" ds:itemID="{48D4B70D-06D4-44B9-8DB3-6D5611D48B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Favian Caceres Ramirez</dc:creator>
  <keywords/>
  <dc:description/>
  <lastModifiedBy>Andres Favian Caceres Ramirez</lastModifiedBy>
  <revision>2</revision>
  <dcterms:created xsi:type="dcterms:W3CDTF">2022-10-14T12:08:00.0000000Z</dcterms:created>
  <dcterms:modified xsi:type="dcterms:W3CDTF">2022-10-14T14:57:19.3744914Z</dcterms:modified>
</coreProperties>
</file>