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1E2F" w:rsidRPr="009B701B" w:rsidRDefault="00D00467" w:rsidP="009B701B">
      <w:pPr>
        <w:jc w:val="both"/>
        <w:rPr>
          <w:rFonts w:ascii="Times New Roman" w:hAnsi="Times New Roman" w:cs="Times New Roman"/>
          <w:sz w:val="24"/>
          <w:szCs w:val="24"/>
        </w:rPr>
      </w:pPr>
      <w:proofErr w:type="gramStart"/>
      <w:r w:rsidRPr="009B701B">
        <w:rPr>
          <w:rFonts w:ascii="Times New Roman" w:hAnsi="Times New Roman" w:cs="Times New Roman"/>
          <w:sz w:val="24"/>
          <w:szCs w:val="24"/>
        </w:rPr>
        <w:t>The following research question was examined: “Which macroeconomic, technological, and social factors have driven the economic convergence of the V4 countries (Hungary, the Czech Republic, Slovakia, and Poland) since their accession to the EU in 2004?”</w:t>
      </w:r>
      <w:r w:rsidR="004C660C" w:rsidRPr="009B701B">
        <w:rPr>
          <w:rFonts w:ascii="Times New Roman" w:hAnsi="Times New Roman" w:cs="Times New Roman"/>
          <w:sz w:val="24"/>
          <w:szCs w:val="24"/>
        </w:rPr>
        <w:t>I would like to compare the economic data of the four Visegrád countries (Poland, the Czech Republic, Slovakia, and Hungary) in my analysis in order to examine which economic indicators may have influenced their economic competitiveness and their process of catching up over the past decades.</w:t>
      </w:r>
      <w:proofErr w:type="gramEnd"/>
      <w:r w:rsidR="004C660C" w:rsidRPr="009B701B">
        <w:rPr>
          <w:rFonts w:ascii="Times New Roman" w:hAnsi="Times New Roman" w:cs="Times New Roman"/>
          <w:sz w:val="24"/>
          <w:szCs w:val="24"/>
        </w:rPr>
        <w:t xml:space="preserve"> In my research, I used officially available data from the World Bank. First, I downloaded the data for the four countries from 1960 to the present day from the World Bank’s official website. The data are available at the following link: </w:t>
      </w:r>
      <w:r w:rsidR="004C660C" w:rsidRPr="009B701B">
        <w:rPr>
          <w:rFonts w:ascii="Times New Roman" w:hAnsi="Times New Roman" w:cs="Times New Roman"/>
          <w:sz w:val="24"/>
          <w:szCs w:val="24"/>
        </w:rPr>
        <w:br/>
      </w:r>
      <w:hyperlink r:id="rId5" w:history="1">
        <w:r w:rsidR="004C660C" w:rsidRPr="009B701B">
          <w:rPr>
            <w:rStyle w:val="Hiperhivatkozs"/>
            <w:rFonts w:ascii="Times New Roman" w:hAnsi="Times New Roman" w:cs="Times New Roman"/>
            <w:sz w:val="24"/>
            <w:szCs w:val="24"/>
          </w:rPr>
          <w:t>https://databank.worldbank.org/source/world-development-indicators</w:t>
        </w:r>
      </w:hyperlink>
    </w:p>
    <w:p w:rsidR="004C660C" w:rsidRPr="009B701B" w:rsidRDefault="00E00F5F" w:rsidP="009B701B">
      <w:pPr>
        <w:jc w:val="both"/>
        <w:rPr>
          <w:rFonts w:ascii="Times New Roman" w:hAnsi="Times New Roman" w:cs="Times New Roman"/>
          <w:sz w:val="24"/>
          <w:szCs w:val="24"/>
        </w:rPr>
      </w:pPr>
      <w:r w:rsidRPr="009B701B">
        <w:rPr>
          <w:rFonts w:ascii="Times New Roman" w:hAnsi="Times New Roman" w:cs="Times New Roman"/>
          <w:sz w:val="24"/>
          <w:szCs w:val="24"/>
        </w:rPr>
        <w:t>The downloaded database contains data for 1,498 indicators covering the period from 1960 to 2025.</w:t>
      </w:r>
    </w:p>
    <w:p w:rsidR="00E00F5F" w:rsidRPr="009B701B" w:rsidRDefault="00E00F5F" w:rsidP="009B701B">
      <w:pPr>
        <w:pStyle w:val="pdq2pgselectionanchorcontainer"/>
        <w:spacing w:line="276" w:lineRule="auto"/>
        <w:jc w:val="both"/>
      </w:pPr>
      <w:r w:rsidRPr="009B701B">
        <w:t xml:space="preserve">For the analysis, I first cleaned the database using Python. I ran a data-cleaning script on the dataset in the background, converting the </w:t>
      </w:r>
      <w:r w:rsidRPr="009B701B">
        <w:rPr>
          <w:rStyle w:val="Kiemels2"/>
          <w:b w:val="0"/>
        </w:rPr>
        <w:t>“wide”</w:t>
      </w:r>
      <w:r w:rsidRPr="009B701B">
        <w:t xml:space="preserve"> table format into a </w:t>
      </w:r>
      <w:r w:rsidRPr="009B701B">
        <w:rPr>
          <w:rStyle w:val="Kiemels2"/>
          <w:b w:val="0"/>
        </w:rPr>
        <w:t>“long”</w:t>
      </w:r>
      <w:r w:rsidRPr="009B701B">
        <w:t xml:space="preserve"> format. From the original 395,000 rows, I filtered out approximately </w:t>
      </w:r>
      <w:r w:rsidRPr="009B701B">
        <w:rPr>
          <w:rStyle w:val="Kiemels2"/>
          <w:b w:val="0"/>
        </w:rPr>
        <w:t>145,000 rows containing valid and usable numerical data</w:t>
      </w:r>
      <w:r w:rsidRPr="009B701B">
        <w:t xml:space="preserve">. I also selected the </w:t>
      </w:r>
      <w:r w:rsidRPr="009B701B">
        <w:rPr>
          <w:rStyle w:val="Kiemels2"/>
          <w:b w:val="0"/>
        </w:rPr>
        <w:t>30 indicators</w:t>
      </w:r>
      <w:r w:rsidRPr="009B701B">
        <w:t xml:space="preserve"> that I considered the most relevant for the analysis, which will form the basis of the actual analysis.</w:t>
      </w:r>
    </w:p>
    <w:p w:rsidR="00E00F5F" w:rsidRPr="009B701B" w:rsidRDefault="00E00F5F" w:rsidP="009B701B">
      <w:pPr>
        <w:pStyle w:val="NormlWeb"/>
        <w:spacing w:line="276" w:lineRule="auto"/>
        <w:jc w:val="both"/>
        <w:rPr>
          <w:rStyle w:val="HTML-kd"/>
          <w:rFonts w:ascii="Times New Roman" w:hAnsi="Times New Roman" w:cs="Times New Roman"/>
          <w:bCs/>
          <w:sz w:val="24"/>
          <w:szCs w:val="24"/>
        </w:rPr>
      </w:pPr>
      <w:r w:rsidRPr="009B701B">
        <w:t xml:space="preserve">The code used for the data-cleaning process can be found in the </w:t>
      </w:r>
      <w:r w:rsidRPr="009B701B">
        <w:rPr>
          <w:rStyle w:val="HTML-kd"/>
          <w:rFonts w:ascii="Times New Roman" w:hAnsi="Times New Roman" w:cs="Times New Roman"/>
          <w:bCs/>
          <w:sz w:val="24"/>
          <w:szCs w:val="24"/>
        </w:rPr>
        <w:t>Dataclean.py</w:t>
      </w:r>
      <w:r w:rsidRPr="009B701B">
        <w:t xml:space="preserve"> file. The selected indicators are listed in the </w:t>
      </w:r>
      <w:r w:rsidRPr="009B701B">
        <w:rPr>
          <w:rStyle w:val="HTML-kd"/>
          <w:rFonts w:ascii="Times New Roman" w:hAnsi="Times New Roman" w:cs="Times New Roman"/>
          <w:bCs/>
          <w:sz w:val="24"/>
          <w:szCs w:val="24"/>
        </w:rPr>
        <w:t>indicators.</w:t>
      </w:r>
      <w:r w:rsidR="009524E4" w:rsidRPr="009B701B">
        <w:rPr>
          <w:rStyle w:val="HTML-kd"/>
          <w:rFonts w:ascii="Times New Roman" w:hAnsi="Times New Roman" w:cs="Times New Roman"/>
          <w:bCs/>
          <w:sz w:val="24"/>
          <w:szCs w:val="24"/>
        </w:rPr>
        <w:t>xls</w:t>
      </w:r>
      <w:r w:rsidRPr="009B701B">
        <w:t xml:space="preserve"> file, while the resulting new database is stored under the name </w:t>
      </w:r>
      <w:r w:rsidRPr="009B701B">
        <w:rPr>
          <w:rStyle w:val="HTML-kd"/>
          <w:rFonts w:ascii="Times New Roman" w:hAnsi="Times New Roman" w:cs="Times New Roman"/>
          <w:bCs/>
          <w:sz w:val="24"/>
          <w:szCs w:val="24"/>
        </w:rPr>
        <w:t>indicators</w:t>
      </w:r>
      <w:r w:rsidRPr="009B701B">
        <w:t xml:space="preserve"> in </w:t>
      </w:r>
      <w:r w:rsidR="005310D8" w:rsidRPr="009B701B">
        <w:rPr>
          <w:rStyle w:val="HTML-kd"/>
          <w:rFonts w:ascii="Times New Roman" w:hAnsi="Times New Roman" w:cs="Times New Roman"/>
          <w:bCs/>
          <w:sz w:val="24"/>
          <w:szCs w:val="24"/>
        </w:rPr>
        <w:t>v4</w:t>
      </w:r>
      <w:r w:rsidR="005310D8" w:rsidRPr="009B701B">
        <w:rPr>
          <w:rStyle w:val="HTML-kd"/>
          <w:rFonts w:ascii="Times New Roman" w:hAnsi="Times New Roman" w:cs="Times New Roman"/>
          <w:bCs/>
          <w:sz w:val="24"/>
          <w:szCs w:val="24"/>
        </w:rPr>
        <w:softHyphen/>
      </w:r>
      <w:r w:rsidR="005310D8" w:rsidRPr="009B701B">
        <w:rPr>
          <w:rStyle w:val="HTML-kd"/>
          <w:rFonts w:ascii="Times New Roman" w:hAnsi="Times New Roman" w:cs="Times New Roman"/>
          <w:bCs/>
          <w:sz w:val="24"/>
          <w:szCs w:val="24"/>
        </w:rPr>
        <w:softHyphen/>
        <w:t>_analytical_database</w:t>
      </w:r>
      <w:r w:rsidRPr="009B701B">
        <w:rPr>
          <w:rStyle w:val="HTML-kd"/>
          <w:rFonts w:ascii="Times New Roman" w:hAnsi="Times New Roman" w:cs="Times New Roman"/>
          <w:bCs/>
          <w:sz w:val="24"/>
          <w:szCs w:val="24"/>
        </w:rPr>
        <w:t>.</w:t>
      </w:r>
      <w:r w:rsidR="005310D8" w:rsidRPr="009B701B">
        <w:rPr>
          <w:rStyle w:val="HTML-kd"/>
          <w:rFonts w:ascii="Times New Roman" w:hAnsi="Times New Roman" w:cs="Times New Roman"/>
          <w:bCs/>
          <w:sz w:val="24"/>
          <w:szCs w:val="24"/>
        </w:rPr>
        <w:t>xls</w:t>
      </w:r>
    </w:p>
    <w:p w:rsidR="00D00467" w:rsidRPr="009B701B" w:rsidRDefault="00D00467" w:rsidP="009B701B">
      <w:pPr>
        <w:pStyle w:val="NormlWeb"/>
        <w:spacing w:line="276" w:lineRule="auto"/>
        <w:jc w:val="both"/>
      </w:pPr>
      <w:r w:rsidRPr="009B701B">
        <w:t xml:space="preserve">Following this, I created a </w:t>
      </w:r>
      <w:r w:rsidRPr="009B701B">
        <w:rPr>
          <w:rStyle w:val="Kiemels2"/>
          <w:b w:val="0"/>
        </w:rPr>
        <w:t>correlation heatmap</w:t>
      </w:r>
      <w:r w:rsidRPr="009B701B">
        <w:t xml:space="preserve">, which illustrates the relationships between the indicators and helps identify potential underlying patterns and hidden correlations among them. The code used for creating the heatmap can be found in the </w:t>
      </w:r>
      <w:r w:rsidRPr="009B701B">
        <w:rPr>
          <w:rStyle w:val="HTML-kd"/>
          <w:rFonts w:ascii="Times New Roman" w:hAnsi="Times New Roman" w:cs="Times New Roman"/>
          <w:bCs/>
          <w:sz w:val="24"/>
          <w:szCs w:val="24"/>
        </w:rPr>
        <w:t>v4_heatmap.py</w:t>
      </w:r>
      <w:r w:rsidRPr="009B701B">
        <w:t xml:space="preserve"> file.</w:t>
      </w:r>
      <w:r w:rsidR="0014582E" w:rsidRPr="009B701B">
        <w:t xml:space="preserve"> The generated image is saved in the </w:t>
      </w:r>
      <w:r w:rsidR="0014582E" w:rsidRPr="009B701B">
        <w:rPr>
          <w:rStyle w:val="HTML-kd"/>
          <w:rFonts w:ascii="Times New Roman" w:hAnsi="Times New Roman" w:cs="Times New Roman"/>
          <w:bCs/>
          <w:sz w:val="24"/>
          <w:szCs w:val="24"/>
        </w:rPr>
        <w:t>v4_correlation_heatmap.png</w:t>
      </w:r>
      <w:r w:rsidR="0014582E" w:rsidRPr="009B701B">
        <w:t xml:space="preserve"> file.</w:t>
      </w:r>
    </w:p>
    <w:p w:rsidR="00BF7B81" w:rsidRPr="00BF7B81" w:rsidRDefault="00BF7B81" w:rsidP="009B701B">
      <w:pPr>
        <w:spacing w:before="100" w:beforeAutospacing="1" w:after="100" w:afterAutospacing="1"/>
        <w:jc w:val="both"/>
        <w:rPr>
          <w:rFonts w:ascii="Times New Roman" w:eastAsia="Times New Roman" w:hAnsi="Times New Roman" w:cs="Times New Roman"/>
          <w:sz w:val="24"/>
          <w:szCs w:val="24"/>
        </w:rPr>
      </w:pPr>
      <w:r w:rsidRPr="00BF7B81">
        <w:rPr>
          <w:rFonts w:ascii="Times New Roman" w:eastAsia="Times New Roman" w:hAnsi="Times New Roman" w:cs="Times New Roman"/>
          <w:sz w:val="24"/>
          <w:szCs w:val="24"/>
        </w:rPr>
        <w:t>This heatmap visualizes the Pearson correlation coefficients between 30 key economic, social, and technological indicators across the Visegrád Group (V4) countries. The color scale ranges from dark red (+1.0), indicating a strong positive relationship, to dark blue (-1.0), indicating a strong negative relationship.</w:t>
      </w:r>
    </w:p>
    <w:p w:rsidR="00BF7B81" w:rsidRPr="00BF7B81" w:rsidRDefault="00BF7B81" w:rsidP="009B701B">
      <w:pPr>
        <w:spacing w:before="100" w:beforeAutospacing="1" w:after="100" w:afterAutospacing="1"/>
        <w:jc w:val="both"/>
        <w:rPr>
          <w:rFonts w:ascii="Times New Roman" w:eastAsia="Times New Roman" w:hAnsi="Times New Roman" w:cs="Times New Roman"/>
          <w:sz w:val="24"/>
          <w:szCs w:val="24"/>
        </w:rPr>
      </w:pPr>
      <w:r w:rsidRPr="00BF7B81">
        <w:rPr>
          <w:rFonts w:ascii="Times New Roman" w:eastAsia="Times New Roman" w:hAnsi="Times New Roman" w:cs="Times New Roman"/>
          <w:sz w:val="24"/>
          <w:szCs w:val="24"/>
        </w:rPr>
        <w:t>By analyzing these intersections, several critical insights emerge regarding the region's development:</w:t>
      </w:r>
    </w:p>
    <w:p w:rsidR="00BF7B81" w:rsidRPr="00BF7B81" w:rsidRDefault="00BF7B81" w:rsidP="009B701B">
      <w:pPr>
        <w:numPr>
          <w:ilvl w:val="0"/>
          <w:numId w:val="1"/>
        </w:numPr>
        <w:spacing w:before="100" w:beforeAutospacing="1" w:after="100" w:afterAutospacing="1"/>
        <w:jc w:val="both"/>
        <w:rPr>
          <w:rFonts w:ascii="Times New Roman" w:eastAsia="Times New Roman" w:hAnsi="Times New Roman" w:cs="Times New Roman"/>
          <w:sz w:val="24"/>
          <w:szCs w:val="24"/>
        </w:rPr>
      </w:pPr>
      <w:r w:rsidRPr="00BF7B81">
        <w:rPr>
          <w:rFonts w:ascii="Times New Roman" w:eastAsia="Times New Roman" w:hAnsi="Times New Roman" w:cs="Times New Roman"/>
          <w:bCs/>
          <w:sz w:val="24"/>
          <w:szCs w:val="24"/>
        </w:rPr>
        <w:t>The Digital Economy drives Wealth:</w:t>
      </w:r>
      <w:r w:rsidRPr="00BF7B81">
        <w:rPr>
          <w:rFonts w:ascii="Times New Roman" w:eastAsia="Times New Roman" w:hAnsi="Times New Roman" w:cs="Times New Roman"/>
          <w:sz w:val="24"/>
          <w:szCs w:val="24"/>
        </w:rPr>
        <w:t xml:space="preserve"> There is a highly significant positive correlation (dark red) between </w:t>
      </w:r>
      <w:r w:rsidRPr="00BF7B81">
        <w:rPr>
          <w:rFonts w:ascii="Times New Roman" w:eastAsia="Times New Roman" w:hAnsi="Times New Roman" w:cs="Times New Roman"/>
          <w:bCs/>
          <w:sz w:val="24"/>
          <w:szCs w:val="24"/>
        </w:rPr>
        <w:t>GDP per capita</w:t>
      </w:r>
      <w:r w:rsidRPr="00BF7B81">
        <w:rPr>
          <w:rFonts w:ascii="Times New Roman" w:eastAsia="Times New Roman" w:hAnsi="Times New Roman" w:cs="Times New Roman"/>
          <w:sz w:val="24"/>
          <w:szCs w:val="24"/>
        </w:rPr>
        <w:t xml:space="preserve"> and </w:t>
      </w:r>
      <w:r w:rsidRPr="00BF7B81">
        <w:rPr>
          <w:rFonts w:ascii="Times New Roman" w:eastAsia="Times New Roman" w:hAnsi="Times New Roman" w:cs="Times New Roman"/>
          <w:bCs/>
          <w:sz w:val="24"/>
          <w:szCs w:val="24"/>
        </w:rPr>
        <w:t>Individuals using the Internet</w:t>
      </w:r>
      <w:r w:rsidRPr="00BF7B81">
        <w:rPr>
          <w:rFonts w:ascii="Times New Roman" w:eastAsia="Times New Roman" w:hAnsi="Times New Roman" w:cs="Times New Roman"/>
          <w:sz w:val="24"/>
          <w:szCs w:val="24"/>
        </w:rPr>
        <w:t>. As the V4 countries digitized their economies and infrastructure over the past decades, economic output increased concurrently.</w:t>
      </w:r>
    </w:p>
    <w:p w:rsidR="00BF7B81" w:rsidRPr="00BF7B81" w:rsidRDefault="00BF7B81" w:rsidP="009B701B">
      <w:pPr>
        <w:numPr>
          <w:ilvl w:val="0"/>
          <w:numId w:val="1"/>
        </w:numPr>
        <w:spacing w:before="100" w:beforeAutospacing="1" w:after="100" w:afterAutospacing="1"/>
        <w:jc w:val="both"/>
        <w:rPr>
          <w:rFonts w:ascii="Times New Roman" w:eastAsia="Times New Roman" w:hAnsi="Times New Roman" w:cs="Times New Roman"/>
          <w:sz w:val="24"/>
          <w:szCs w:val="24"/>
        </w:rPr>
      </w:pPr>
      <w:r w:rsidRPr="00BF7B81">
        <w:rPr>
          <w:rFonts w:ascii="Times New Roman" w:eastAsia="Times New Roman" w:hAnsi="Times New Roman" w:cs="Times New Roman"/>
          <w:bCs/>
          <w:sz w:val="24"/>
          <w:szCs w:val="24"/>
        </w:rPr>
        <w:t>Economic Growth translates to Social Well-being:</w:t>
      </w:r>
      <w:r w:rsidRPr="00BF7B81">
        <w:rPr>
          <w:rFonts w:ascii="Times New Roman" w:eastAsia="Times New Roman" w:hAnsi="Times New Roman" w:cs="Times New Roman"/>
          <w:sz w:val="24"/>
          <w:szCs w:val="24"/>
        </w:rPr>
        <w:t xml:space="preserve"> The matrix shows that as wealth (GDP) increases, </w:t>
      </w:r>
      <w:r w:rsidRPr="00BF7B81">
        <w:rPr>
          <w:rFonts w:ascii="Times New Roman" w:eastAsia="Times New Roman" w:hAnsi="Times New Roman" w:cs="Times New Roman"/>
          <w:bCs/>
          <w:sz w:val="24"/>
          <w:szCs w:val="24"/>
        </w:rPr>
        <w:t>Life expectancy at birth</w:t>
      </w:r>
      <w:r w:rsidRPr="00BF7B81">
        <w:rPr>
          <w:rFonts w:ascii="Times New Roman" w:eastAsia="Times New Roman" w:hAnsi="Times New Roman" w:cs="Times New Roman"/>
          <w:sz w:val="24"/>
          <w:szCs w:val="24"/>
        </w:rPr>
        <w:t xml:space="preserve"> also shows a strong positive correlation. Conversely, there is a deep negative correlation (dark blue) between GDP per capita and the </w:t>
      </w:r>
      <w:r w:rsidRPr="00BF7B81">
        <w:rPr>
          <w:rFonts w:ascii="Times New Roman" w:eastAsia="Times New Roman" w:hAnsi="Times New Roman" w:cs="Times New Roman"/>
          <w:bCs/>
          <w:sz w:val="24"/>
          <w:szCs w:val="24"/>
        </w:rPr>
        <w:t>Mortality rate, under-5</w:t>
      </w:r>
      <w:r w:rsidRPr="00BF7B81">
        <w:rPr>
          <w:rFonts w:ascii="Times New Roman" w:eastAsia="Times New Roman" w:hAnsi="Times New Roman" w:cs="Times New Roman"/>
          <w:sz w:val="24"/>
          <w:szCs w:val="24"/>
        </w:rPr>
        <w:t xml:space="preserve">, as well as the </w:t>
      </w:r>
      <w:r w:rsidRPr="00BF7B81">
        <w:rPr>
          <w:rFonts w:ascii="Times New Roman" w:eastAsia="Times New Roman" w:hAnsi="Times New Roman" w:cs="Times New Roman"/>
          <w:bCs/>
          <w:sz w:val="24"/>
          <w:szCs w:val="24"/>
        </w:rPr>
        <w:t>Poverty headcount ratio</w:t>
      </w:r>
      <w:r w:rsidRPr="00BF7B81">
        <w:rPr>
          <w:rFonts w:ascii="Times New Roman" w:eastAsia="Times New Roman" w:hAnsi="Times New Roman" w:cs="Times New Roman"/>
          <w:sz w:val="24"/>
          <w:szCs w:val="24"/>
        </w:rPr>
        <w:t xml:space="preserve">. This proves </w:t>
      </w:r>
      <w:r w:rsidRPr="00BF7B81">
        <w:rPr>
          <w:rFonts w:ascii="Times New Roman" w:eastAsia="Times New Roman" w:hAnsi="Times New Roman" w:cs="Times New Roman"/>
          <w:sz w:val="24"/>
          <w:szCs w:val="24"/>
        </w:rPr>
        <w:lastRenderedPageBreak/>
        <w:t>that economic convergence in the V4 has successfully funded better healthcare and lifted populations out of poverty.</w:t>
      </w:r>
    </w:p>
    <w:p w:rsidR="00BF7B81" w:rsidRPr="00BF7B81" w:rsidRDefault="00BF7B81" w:rsidP="009B701B">
      <w:pPr>
        <w:numPr>
          <w:ilvl w:val="0"/>
          <w:numId w:val="1"/>
        </w:numPr>
        <w:spacing w:before="100" w:beforeAutospacing="1" w:after="100" w:afterAutospacing="1"/>
        <w:jc w:val="both"/>
        <w:rPr>
          <w:rFonts w:ascii="Times New Roman" w:eastAsia="Times New Roman" w:hAnsi="Times New Roman" w:cs="Times New Roman"/>
          <w:sz w:val="24"/>
          <w:szCs w:val="24"/>
        </w:rPr>
      </w:pPr>
      <w:r w:rsidRPr="00BF7B81">
        <w:rPr>
          <w:rFonts w:ascii="Times New Roman" w:eastAsia="Times New Roman" w:hAnsi="Times New Roman" w:cs="Times New Roman"/>
          <w:bCs/>
          <w:sz w:val="24"/>
          <w:szCs w:val="24"/>
        </w:rPr>
        <w:t>Education and Labor Dynamics:</w:t>
      </w:r>
      <w:r w:rsidRPr="00BF7B81">
        <w:rPr>
          <w:rFonts w:ascii="Times New Roman" w:eastAsia="Times New Roman" w:hAnsi="Times New Roman" w:cs="Times New Roman"/>
          <w:sz w:val="24"/>
          <w:szCs w:val="24"/>
        </w:rPr>
        <w:t xml:space="preserve"> </w:t>
      </w:r>
      <w:r w:rsidRPr="00BF7B81">
        <w:rPr>
          <w:rFonts w:ascii="Times New Roman" w:eastAsia="Times New Roman" w:hAnsi="Times New Roman" w:cs="Times New Roman"/>
          <w:bCs/>
          <w:sz w:val="24"/>
          <w:szCs w:val="24"/>
        </w:rPr>
        <w:t>Educational attainment</w:t>
      </w:r>
      <w:r w:rsidRPr="00BF7B81">
        <w:rPr>
          <w:rFonts w:ascii="Times New Roman" w:eastAsia="Times New Roman" w:hAnsi="Times New Roman" w:cs="Times New Roman"/>
          <w:sz w:val="24"/>
          <w:szCs w:val="24"/>
        </w:rPr>
        <w:t xml:space="preserve"> (post-secondary) positively correlates with GDP and Internet usage, highlighting the importance of human capital. Meanwhile, </w:t>
      </w:r>
      <w:r w:rsidRPr="00BF7B81">
        <w:rPr>
          <w:rFonts w:ascii="Times New Roman" w:eastAsia="Times New Roman" w:hAnsi="Times New Roman" w:cs="Times New Roman"/>
          <w:bCs/>
          <w:sz w:val="24"/>
          <w:szCs w:val="24"/>
        </w:rPr>
        <w:t>Unemployment</w:t>
      </w:r>
      <w:r w:rsidRPr="00BF7B81">
        <w:rPr>
          <w:rFonts w:ascii="Times New Roman" w:eastAsia="Times New Roman" w:hAnsi="Times New Roman" w:cs="Times New Roman"/>
          <w:sz w:val="24"/>
          <w:szCs w:val="24"/>
        </w:rPr>
        <w:t xml:space="preserve"> shows a strong negative relationship with economic growth indicators, reflecting the classic macroeconomic principle that expanding economies absorb excess labor.</w:t>
      </w:r>
    </w:p>
    <w:p w:rsidR="00BF7B81" w:rsidRPr="00BF7B81" w:rsidRDefault="00BF7B81" w:rsidP="009B701B">
      <w:pPr>
        <w:numPr>
          <w:ilvl w:val="0"/>
          <w:numId w:val="1"/>
        </w:numPr>
        <w:spacing w:before="100" w:beforeAutospacing="1" w:after="100" w:afterAutospacing="1"/>
        <w:jc w:val="both"/>
        <w:rPr>
          <w:rFonts w:ascii="Times New Roman" w:eastAsia="Times New Roman" w:hAnsi="Times New Roman" w:cs="Times New Roman"/>
          <w:sz w:val="24"/>
          <w:szCs w:val="24"/>
        </w:rPr>
      </w:pPr>
      <w:r w:rsidRPr="00BF7B81">
        <w:rPr>
          <w:rFonts w:ascii="Times New Roman" w:eastAsia="Times New Roman" w:hAnsi="Times New Roman" w:cs="Times New Roman"/>
          <w:bCs/>
          <w:sz w:val="24"/>
          <w:szCs w:val="24"/>
        </w:rPr>
        <w:t>Demographic Shifts:</w:t>
      </w:r>
      <w:r w:rsidRPr="00BF7B81">
        <w:rPr>
          <w:rFonts w:ascii="Times New Roman" w:eastAsia="Times New Roman" w:hAnsi="Times New Roman" w:cs="Times New Roman"/>
          <w:sz w:val="24"/>
          <w:szCs w:val="24"/>
        </w:rPr>
        <w:t xml:space="preserve"> We can observe that </w:t>
      </w:r>
      <w:r w:rsidRPr="00BF7B81">
        <w:rPr>
          <w:rFonts w:ascii="Times New Roman" w:eastAsia="Times New Roman" w:hAnsi="Times New Roman" w:cs="Times New Roman"/>
          <w:bCs/>
          <w:sz w:val="24"/>
          <w:szCs w:val="24"/>
        </w:rPr>
        <w:t>Urban population</w:t>
      </w:r>
      <w:r w:rsidRPr="00BF7B81">
        <w:rPr>
          <w:rFonts w:ascii="Times New Roman" w:eastAsia="Times New Roman" w:hAnsi="Times New Roman" w:cs="Times New Roman"/>
          <w:sz w:val="24"/>
          <w:szCs w:val="24"/>
        </w:rPr>
        <w:t xml:space="preserve"> has a positive correlation with economic indicators, suggesting that urbanization has been a key component of the V4's modernization and industrial clustering.</w:t>
      </w:r>
    </w:p>
    <w:p w:rsidR="00BF7B81" w:rsidRPr="00BF7B81" w:rsidRDefault="00BF7B81" w:rsidP="009B701B">
      <w:pPr>
        <w:spacing w:before="100" w:beforeAutospacing="1" w:after="100" w:afterAutospacing="1"/>
        <w:jc w:val="both"/>
        <w:rPr>
          <w:rFonts w:ascii="Times New Roman" w:eastAsia="Times New Roman" w:hAnsi="Times New Roman" w:cs="Times New Roman"/>
          <w:sz w:val="24"/>
          <w:szCs w:val="24"/>
        </w:rPr>
      </w:pPr>
      <w:r w:rsidRPr="00BF7B81">
        <w:rPr>
          <w:rFonts w:ascii="Times New Roman" w:eastAsia="Times New Roman" w:hAnsi="Times New Roman" w:cs="Times New Roman"/>
          <w:bCs/>
          <w:sz w:val="24"/>
          <w:szCs w:val="24"/>
        </w:rPr>
        <w:t>Conclusion</w:t>
      </w:r>
      <w:r w:rsidRPr="00BF7B81">
        <w:rPr>
          <w:rFonts w:ascii="Times New Roman" w:eastAsia="Times New Roman" w:hAnsi="Times New Roman" w:cs="Times New Roman"/>
          <w:sz w:val="24"/>
          <w:szCs w:val="24"/>
        </w:rPr>
        <w:t xml:space="preserve"> The data clearly illustrates that the economic catch-up of the V4 countries is not an isolated financial phenomenon. It is deeply intertwined with technological adoption, improved healthcare, and educational advancement.</w:t>
      </w:r>
    </w:p>
    <w:p w:rsidR="00BF7B81" w:rsidRPr="009B701B" w:rsidRDefault="00BD7EBF" w:rsidP="009B701B">
      <w:pPr>
        <w:pStyle w:val="NormlWeb"/>
        <w:spacing w:line="276" w:lineRule="auto"/>
        <w:jc w:val="both"/>
      </w:pPr>
      <w:r w:rsidRPr="009B701B">
        <w:t xml:space="preserve">I then created code to generate a </w:t>
      </w:r>
      <w:r w:rsidRPr="009B701B">
        <w:rPr>
          <w:rStyle w:val="Kiemels2"/>
          <w:b w:val="0"/>
        </w:rPr>
        <w:t>GDP per capita line chart</w:t>
      </w:r>
      <w:r w:rsidRPr="009B701B">
        <w:t xml:space="preserve"> for the V4 countries. The code is available in the </w:t>
      </w:r>
      <w:r w:rsidRPr="009B701B">
        <w:rPr>
          <w:rStyle w:val="HTML-kd"/>
          <w:rFonts w:ascii="Times New Roman" w:hAnsi="Times New Roman" w:cs="Times New Roman"/>
          <w:bCs/>
          <w:sz w:val="24"/>
          <w:szCs w:val="24"/>
        </w:rPr>
        <w:t>v4_linechart.py</w:t>
      </w:r>
      <w:r w:rsidRPr="009B701B">
        <w:t xml:space="preserve"> file, while the resulting chart is saved as </w:t>
      </w:r>
      <w:r w:rsidRPr="009B701B">
        <w:rPr>
          <w:rStyle w:val="HTML-kd"/>
          <w:rFonts w:ascii="Times New Roman" w:hAnsi="Times New Roman" w:cs="Times New Roman"/>
          <w:bCs/>
          <w:sz w:val="24"/>
          <w:szCs w:val="24"/>
        </w:rPr>
        <w:t>v4_gdp_growth_milestones.png</w:t>
      </w:r>
      <w:r w:rsidRPr="009B701B">
        <w:t>.</w:t>
      </w:r>
    </w:p>
    <w:p w:rsidR="00BD7EBF" w:rsidRPr="009B701B" w:rsidRDefault="00BD7EBF" w:rsidP="009B701B">
      <w:pPr>
        <w:pStyle w:val="NormlWeb"/>
        <w:spacing w:line="276" w:lineRule="auto"/>
        <w:jc w:val="both"/>
      </w:pPr>
      <w:r w:rsidRPr="009B701B">
        <w:t>This line chart tracks the economic convergence of the Visegrád Group (V4) countries by visualizing their GDP per capita (constant 2015 US$) from 1995 to 2023. By overlaying key historical milestones, several distinct economic phases become apparent:</w:t>
      </w:r>
    </w:p>
    <w:p w:rsidR="00BD7EBF" w:rsidRPr="009B701B" w:rsidRDefault="00BD7EBF" w:rsidP="009B701B">
      <w:pPr>
        <w:pStyle w:val="NormlWeb"/>
        <w:numPr>
          <w:ilvl w:val="0"/>
          <w:numId w:val="2"/>
        </w:numPr>
        <w:spacing w:line="276" w:lineRule="auto"/>
        <w:jc w:val="both"/>
      </w:pPr>
      <w:r w:rsidRPr="009B701B">
        <w:rPr>
          <w:bCs/>
        </w:rPr>
        <w:t>The EU Accession Catalyst (2004):</w:t>
      </w:r>
      <w:r w:rsidRPr="009B701B">
        <w:t xml:space="preserve"> Following their integration into the European Union in 2004, all four countries experienced a significant acceleration in economic growth. The steepening of the curves indicates that access to the European Single Market, coupled with the influx of EU funds and Foreign Direct Investment (FDI), served as a major engine for wealth generation.</w:t>
      </w:r>
    </w:p>
    <w:p w:rsidR="00BD7EBF" w:rsidRPr="009B701B" w:rsidRDefault="00BD7EBF" w:rsidP="009B701B">
      <w:pPr>
        <w:pStyle w:val="NormlWeb"/>
        <w:numPr>
          <w:ilvl w:val="0"/>
          <w:numId w:val="2"/>
        </w:numPr>
        <w:spacing w:line="276" w:lineRule="auto"/>
        <w:jc w:val="both"/>
      </w:pPr>
      <w:r w:rsidRPr="009B701B">
        <w:rPr>
          <w:bCs/>
        </w:rPr>
        <w:t>Vulnerability and Resilience to Shocks (2008 &amp; 2020):</w:t>
      </w:r>
      <w:r w:rsidRPr="009B701B">
        <w:t xml:space="preserve"> The V4 economies, being highly export-oriented, are exposed to global economic cycles. The 2008 Global Financial Crisis caused a sharp, synchronized contraction across the region (with Poland showing the most resilience). Similarly, the 2020 COVID-19 pandemic triggered a severe but short-lived dip, followed by a rapid "V-shaped" recovery, demonstrating the underlying robustness of these economies.</w:t>
      </w:r>
    </w:p>
    <w:p w:rsidR="00BD7EBF" w:rsidRPr="009B701B" w:rsidRDefault="00BD7EBF" w:rsidP="009B701B">
      <w:pPr>
        <w:pStyle w:val="NormlWeb"/>
        <w:numPr>
          <w:ilvl w:val="0"/>
          <w:numId w:val="2"/>
        </w:numPr>
        <w:spacing w:line="276" w:lineRule="auto"/>
        <w:jc w:val="both"/>
      </w:pPr>
      <w:r w:rsidRPr="009B701B">
        <w:rPr>
          <w:bCs/>
        </w:rPr>
        <w:t>Diverging Trajectories:</w:t>
      </w:r>
      <w:r w:rsidRPr="009B701B">
        <w:t xml:space="preserve"> While the overall trend is overwhelmingly positive, internal dynamics differ. Czechia has consistently maintained the highest GDP per capita in the region. Meanwhile, Poland's steady, uninterrupted growth trajectory is notable, often buffering global crises better than its peers. Slovakia showed the most rapid convergence rate prior to 2008, while Hungary has maintained a steady but more moderate growth path.</w:t>
      </w:r>
    </w:p>
    <w:p w:rsidR="00BD7EBF" w:rsidRPr="009B701B" w:rsidRDefault="00BD7EBF" w:rsidP="009B701B">
      <w:pPr>
        <w:pStyle w:val="NormlWeb"/>
        <w:spacing w:line="276" w:lineRule="auto"/>
        <w:jc w:val="both"/>
      </w:pPr>
      <w:r w:rsidRPr="009B701B">
        <w:rPr>
          <w:bCs/>
        </w:rPr>
        <w:t>Conclusion:</w:t>
      </w:r>
      <w:r w:rsidRPr="009B701B">
        <w:t xml:space="preserve"> The data confirms that the V4 region has successfully capitalized on European integration, transitioning into high-income economies. However, their reliance on global supply chains makes them sensitive to external macroeconomic shocks.</w:t>
      </w:r>
    </w:p>
    <w:p w:rsidR="00BD7EBF" w:rsidRPr="009B701B" w:rsidRDefault="00BD7EBF" w:rsidP="009B701B">
      <w:pPr>
        <w:pStyle w:val="NormlWeb"/>
        <w:spacing w:line="276" w:lineRule="auto"/>
        <w:jc w:val="both"/>
      </w:pPr>
      <w:r w:rsidRPr="009B701B">
        <w:lastRenderedPageBreak/>
        <w:t xml:space="preserve">Next, I created a </w:t>
      </w:r>
      <w:r w:rsidRPr="009B701B">
        <w:rPr>
          <w:rStyle w:val="Kiemels2"/>
          <w:b w:val="0"/>
        </w:rPr>
        <w:t>Dual-Axis Chart</w:t>
      </w:r>
      <w:r w:rsidRPr="009B701B">
        <w:t xml:space="preserve"> focusing on Hungary, comparing </w:t>
      </w:r>
      <w:r w:rsidRPr="009B701B">
        <w:rPr>
          <w:rStyle w:val="Kiemels2"/>
          <w:b w:val="0"/>
        </w:rPr>
        <w:t>GDP growth</w:t>
      </w:r>
      <w:r w:rsidRPr="009B701B">
        <w:t xml:space="preserve"> (bar chart) and </w:t>
      </w:r>
      <w:r w:rsidRPr="009B701B">
        <w:rPr>
          <w:rStyle w:val="Kiemels2"/>
          <w:b w:val="0"/>
        </w:rPr>
        <w:t>inflation</w:t>
      </w:r>
      <w:r w:rsidRPr="009B701B">
        <w:t xml:space="preserve"> (line chart) from 1995 to the present. The code can be found in the </w:t>
      </w:r>
      <w:r w:rsidRPr="009B701B">
        <w:rPr>
          <w:rStyle w:val="HTML-kd"/>
          <w:rFonts w:ascii="Times New Roman" w:hAnsi="Times New Roman" w:cs="Times New Roman"/>
          <w:sz w:val="24"/>
          <w:szCs w:val="24"/>
        </w:rPr>
        <w:t>hungary_dual_axis.py</w:t>
      </w:r>
      <w:r w:rsidRPr="009B701B">
        <w:t xml:space="preserve"> file, while the resulting chart is saved as </w:t>
      </w:r>
      <w:r w:rsidRPr="009B701B">
        <w:rPr>
          <w:rStyle w:val="HTML-kd"/>
          <w:rFonts w:ascii="Times New Roman" w:hAnsi="Times New Roman" w:cs="Times New Roman"/>
          <w:sz w:val="24"/>
          <w:szCs w:val="24"/>
        </w:rPr>
        <w:t>hungary_gdp_vs_inflation.png</w:t>
      </w:r>
      <w:r w:rsidRPr="009B701B">
        <w:t>.</w:t>
      </w:r>
    </w:p>
    <w:p w:rsidR="00BD7EBF" w:rsidRPr="009B701B" w:rsidRDefault="00BD7EBF" w:rsidP="009B701B">
      <w:pPr>
        <w:pStyle w:val="NormlWeb"/>
        <w:spacing w:line="276" w:lineRule="auto"/>
        <w:jc w:val="both"/>
      </w:pPr>
      <w:r w:rsidRPr="009B701B">
        <w:t>This dual-axis visualization provides a comprehensive timeline of Hungary's macroeconomic stability by contrasting Annual GDP Growth (bar chart) with Consumer Price Inflation (line chart). Expanding on the data, we can identify four distinct economic eras over the past three decades:</w:t>
      </w:r>
    </w:p>
    <w:p w:rsidR="00BD7EBF" w:rsidRPr="009B701B" w:rsidRDefault="00BD7EBF" w:rsidP="009B701B">
      <w:pPr>
        <w:pStyle w:val="NormlWeb"/>
        <w:numPr>
          <w:ilvl w:val="0"/>
          <w:numId w:val="3"/>
        </w:numPr>
        <w:spacing w:line="276" w:lineRule="auto"/>
        <w:jc w:val="both"/>
      </w:pPr>
      <w:r w:rsidRPr="009B701B">
        <w:rPr>
          <w:bCs/>
        </w:rPr>
        <w:t>Transition &amp; EU Preparation (1995–2007):</w:t>
      </w:r>
      <w:r w:rsidRPr="009B701B">
        <w:t xml:space="preserve"> The late 90s and early 2000s were characterized by high, yet gradually cooling inflation as the country transitioned to a market economy and prepared for EU integration. GDP growth was steady, driven by structural reforms.</w:t>
      </w:r>
    </w:p>
    <w:p w:rsidR="00BD7EBF" w:rsidRPr="009B701B" w:rsidRDefault="00BD7EBF" w:rsidP="009B701B">
      <w:pPr>
        <w:pStyle w:val="NormlWeb"/>
        <w:numPr>
          <w:ilvl w:val="0"/>
          <w:numId w:val="3"/>
        </w:numPr>
        <w:spacing w:line="276" w:lineRule="auto"/>
        <w:jc w:val="both"/>
      </w:pPr>
      <w:r w:rsidRPr="009B701B">
        <w:rPr>
          <w:bCs/>
        </w:rPr>
        <w:t>The 2008 Financial Crisis:</w:t>
      </w:r>
      <w:r w:rsidRPr="009B701B">
        <w:t xml:space="preserve"> The chart vividly captures the 2009 recession where Hungary experienced a severe GDP contraction (dropping below -6%). Notably, inflation did not immediately plummet, demonstrating early signs of stagflation pressures due to currency vulnerability and reliance on external financing.</w:t>
      </w:r>
    </w:p>
    <w:p w:rsidR="00BD7EBF" w:rsidRPr="009B701B" w:rsidRDefault="00BD7EBF" w:rsidP="009B701B">
      <w:pPr>
        <w:pStyle w:val="NormlWeb"/>
        <w:numPr>
          <w:ilvl w:val="0"/>
          <w:numId w:val="3"/>
        </w:numPr>
        <w:spacing w:line="276" w:lineRule="auto"/>
        <w:jc w:val="both"/>
      </w:pPr>
      <w:r w:rsidRPr="009B701B">
        <w:rPr>
          <w:bCs/>
        </w:rPr>
        <w:t>The "Golden Decade" (2013–2019):</w:t>
      </w:r>
      <w:r w:rsidRPr="009B701B">
        <w:t xml:space="preserve"> A period of remarkable macroeconomic equilibrium. Hungary enjoyed sustained, robust GDP growth (consistently around 4-5%) fueled by EU structural funds and strong Foreign Direct Investment (FDI) in manufacturing. Simultaneously, inflation remained historically low, even flirting with deflationary territory around 2014–2015.</w:t>
      </w:r>
    </w:p>
    <w:p w:rsidR="00BD7EBF" w:rsidRPr="009B701B" w:rsidRDefault="00BD7EBF" w:rsidP="009B701B">
      <w:pPr>
        <w:pStyle w:val="NormlWeb"/>
        <w:numPr>
          <w:ilvl w:val="0"/>
          <w:numId w:val="3"/>
        </w:numPr>
        <w:spacing w:line="276" w:lineRule="auto"/>
        <w:jc w:val="both"/>
      </w:pPr>
      <w:r w:rsidRPr="009B701B">
        <w:rPr>
          <w:bCs/>
        </w:rPr>
        <w:t>The Polycrisis Era (2020–2023):</w:t>
      </w:r>
      <w:r w:rsidRPr="009B701B">
        <w:t xml:space="preserve"> The COVID-19 pandemic caused a sharp but brief economic contraction in 2020. However, the subsequent aggressive economic rebound collided with global supply chain bottlenecks and the 2022 regional energy crisis. This triggered an unprecedented inflationary spike (surpassing 15% annually). By 2023, high inflation severely dampened consumer purchasing power and GDP growth, forcing a harsh monetary tightening cycle.</w:t>
      </w:r>
    </w:p>
    <w:p w:rsidR="00BD7EBF" w:rsidRPr="009B701B" w:rsidRDefault="00BD7EBF" w:rsidP="009B701B">
      <w:pPr>
        <w:pStyle w:val="NormlWeb"/>
        <w:spacing w:line="276" w:lineRule="auto"/>
        <w:jc w:val="both"/>
      </w:pPr>
      <w:r w:rsidRPr="009B701B">
        <w:rPr>
          <w:bCs/>
        </w:rPr>
        <w:t>Business Takeaway:</w:t>
      </w:r>
      <w:r w:rsidRPr="009B701B">
        <w:t xml:space="preserve"> This visual clearly highlights the ongoing challenge for central banks and policymakers: the delicate balancing act of stimulating economic expansion without triggering runaway inflation.</w:t>
      </w:r>
    </w:p>
    <w:p w:rsidR="009B701B" w:rsidRPr="009B701B" w:rsidRDefault="009B701B" w:rsidP="009B701B">
      <w:pPr>
        <w:pStyle w:val="NormlWeb"/>
        <w:spacing w:line="276" w:lineRule="auto"/>
        <w:jc w:val="both"/>
      </w:pPr>
      <w:r w:rsidRPr="009B701B">
        <w:t>Next, I created a bubble chart focusing on a specific year (2021). The X-axis represents wealth (GDP per capita), the Y-axis represents life expectancy, and the size of each bubble represents population.</w:t>
      </w:r>
    </w:p>
    <w:p w:rsidR="00BD7EBF" w:rsidRPr="009B701B" w:rsidRDefault="009B701B" w:rsidP="009B701B">
      <w:pPr>
        <w:pStyle w:val="NormlWeb"/>
        <w:spacing w:line="276" w:lineRule="auto"/>
        <w:jc w:val="both"/>
      </w:pPr>
      <w:r w:rsidRPr="009B701B">
        <w:t>The code can be found in the v4_bubble_chart.py file, while the resulting chart is saved as v4_health_wealth_bubble.png.</w:t>
      </w:r>
    </w:p>
    <w:p w:rsidR="009B701B" w:rsidRPr="009B701B" w:rsidRDefault="009B701B" w:rsidP="009B701B">
      <w:pPr>
        <w:pStyle w:val="NormlWeb"/>
        <w:spacing w:line="276" w:lineRule="auto"/>
        <w:jc w:val="both"/>
      </w:pPr>
      <w:r w:rsidRPr="009B701B">
        <w:t xml:space="preserve">This bubble chart condenses three vital dimensions of national development into a single comparative view: Economic Output (GDP per capita on the X-axis), Societal Well-being </w:t>
      </w:r>
      <w:r w:rsidRPr="009B701B">
        <w:lastRenderedPageBreak/>
        <w:t>(Life Expectancy on the Y-axis), and Demographic Scale (Bubble size). By analyzing the 2021 snapshot, we uncover deeper structural nuances within the Visegrád Group:</w:t>
      </w:r>
    </w:p>
    <w:p w:rsidR="009B701B" w:rsidRPr="009B701B" w:rsidRDefault="009B701B" w:rsidP="009B701B">
      <w:pPr>
        <w:pStyle w:val="NormlWeb"/>
        <w:numPr>
          <w:ilvl w:val="0"/>
          <w:numId w:val="4"/>
        </w:numPr>
        <w:spacing w:line="276" w:lineRule="auto"/>
        <w:jc w:val="both"/>
      </w:pPr>
      <w:r w:rsidRPr="009B701B">
        <w:rPr>
          <w:bCs/>
        </w:rPr>
        <w:t>Czechia's Premium Positioning:</w:t>
      </w:r>
      <w:r w:rsidRPr="009B701B">
        <w:t xml:space="preserve"> Czechia is the undisputed leader of the region, positioned in the top-right quadrant. It has most successfully translated its economic wealth into tangible public health outcomes, bridging the gap toward Western European living standards.</w:t>
      </w:r>
    </w:p>
    <w:p w:rsidR="009B701B" w:rsidRPr="009B701B" w:rsidRDefault="009B701B" w:rsidP="009B701B">
      <w:pPr>
        <w:pStyle w:val="NormlWeb"/>
        <w:numPr>
          <w:ilvl w:val="0"/>
          <w:numId w:val="4"/>
        </w:numPr>
        <w:spacing w:line="276" w:lineRule="auto"/>
        <w:jc w:val="both"/>
      </w:pPr>
      <w:r w:rsidRPr="009B701B">
        <w:rPr>
          <w:bCs/>
        </w:rPr>
        <w:t>Poland's Scale and Resilience:</w:t>
      </w:r>
      <w:r w:rsidRPr="009B701B">
        <w:t xml:space="preserve"> Represented by the largest bubble, Poland is the demographic and macroeconomic heavyweight of the V4. Its massive internal market provides a buffer against external economic shocks. It sits comfortably in the middle of the developmental axis, showing highly balanced metrics.</w:t>
      </w:r>
    </w:p>
    <w:p w:rsidR="009B701B" w:rsidRPr="009B701B" w:rsidRDefault="009B701B" w:rsidP="009B701B">
      <w:pPr>
        <w:pStyle w:val="NormlWeb"/>
        <w:numPr>
          <w:ilvl w:val="0"/>
          <w:numId w:val="4"/>
        </w:numPr>
        <w:spacing w:line="276" w:lineRule="auto"/>
        <w:jc w:val="both"/>
      </w:pPr>
      <w:r w:rsidRPr="009B701B">
        <w:rPr>
          <w:bCs/>
        </w:rPr>
        <w:t>The "Translation Gap" (Hungary &amp; Slovakia):</w:t>
      </w:r>
      <w:r w:rsidRPr="009B701B">
        <w:t xml:space="preserve"> While both countries have made significant economic strides since 2004, the chart reveals a critical developmental challenge. Hungary, for instance, maintains a competitive GDP per capita but lags noticeably behind Czechia in life expectancy. This divergence suggests that economic growth (wealth generation) is not automatically equal to social well-being.</w:t>
      </w:r>
    </w:p>
    <w:p w:rsidR="009B701B" w:rsidRPr="009B701B" w:rsidRDefault="009B701B" w:rsidP="009B701B">
      <w:pPr>
        <w:pStyle w:val="NormlWeb"/>
        <w:spacing w:line="276" w:lineRule="auto"/>
        <w:jc w:val="both"/>
      </w:pPr>
      <w:r w:rsidRPr="009B701B">
        <w:rPr>
          <w:bCs/>
        </w:rPr>
        <w:t>Business Takeaway:</w:t>
      </w:r>
      <w:r w:rsidRPr="009B701B">
        <w:t xml:space="preserve"> The visualization proves that while the V4 countries share a similar geopolitical background, their developmental maturity is heterogeneous. The true measure of a nation's systemic success lies not just in generating wealth (X-axis), but in its systemic efficiency at converting that wealth into human capital, healthcare quality, and longevity (Y-axis).</w:t>
      </w:r>
    </w:p>
    <w:p w:rsidR="001D6170" w:rsidRPr="001D6170" w:rsidRDefault="001D6170" w:rsidP="001D6170">
      <w:pPr>
        <w:pStyle w:val="NormlWeb"/>
        <w:spacing w:line="276" w:lineRule="auto"/>
        <w:jc w:val="both"/>
      </w:pPr>
      <w:r w:rsidRPr="001D6170">
        <w:rPr>
          <w:bCs/>
        </w:rPr>
        <w:t>Transition to Interactive BI Analytics (Power BI)</w:t>
      </w:r>
    </w:p>
    <w:p w:rsidR="001D6170" w:rsidRPr="001D6170" w:rsidRDefault="001D6170" w:rsidP="001D6170">
      <w:pPr>
        <w:pStyle w:val="NormlWeb"/>
        <w:spacing w:line="276" w:lineRule="auto"/>
        <w:jc w:val="both"/>
      </w:pPr>
      <w:r w:rsidRPr="001D6170">
        <w:t>While the Python-based exploratory data analysis (EDA) and static visualizations provide a robust foundational understanding of the V4 region's macroeconomic trends, modern data analytics requires dynamic, stakeholder-friendly solutions. To address this, the cleaned analytical database (</w:t>
      </w:r>
      <w:r w:rsidRPr="001D6170">
        <w:rPr>
          <w:rStyle w:val="HTML-kd"/>
          <w:rFonts w:ascii="Times New Roman" w:hAnsi="Times New Roman" w:cs="Times New Roman"/>
          <w:sz w:val="24"/>
          <w:szCs w:val="24"/>
        </w:rPr>
        <w:t>v4_analytical_database.xlsx</w:t>
      </w:r>
      <w:r w:rsidRPr="001D6170">
        <w:t>) was imported into Power BI to create an interactive macroeconomic dashboard.</w:t>
      </w:r>
    </w:p>
    <w:p w:rsidR="001D6170" w:rsidRPr="001D6170" w:rsidRDefault="001D6170" w:rsidP="001D6170">
      <w:pPr>
        <w:pStyle w:val="NormlWeb"/>
        <w:spacing w:line="276" w:lineRule="auto"/>
        <w:jc w:val="both"/>
      </w:pPr>
      <w:r w:rsidRPr="001D6170">
        <w:t>The Power BI deployment enhances the project with the following features:</w:t>
      </w:r>
    </w:p>
    <w:p w:rsidR="001D6170" w:rsidRPr="001D6170" w:rsidRDefault="001D6170" w:rsidP="001D6170">
      <w:pPr>
        <w:pStyle w:val="NormlWeb"/>
        <w:numPr>
          <w:ilvl w:val="0"/>
          <w:numId w:val="5"/>
        </w:numPr>
        <w:spacing w:line="276" w:lineRule="auto"/>
        <w:jc w:val="both"/>
      </w:pPr>
      <w:r w:rsidRPr="001D6170">
        <w:rPr>
          <w:bCs/>
        </w:rPr>
        <w:t>Animated Demographic &amp; Economic Evolution:</w:t>
      </w:r>
      <w:r w:rsidRPr="001D6170">
        <w:t xml:space="preserve"> The static 2021 bubble chart was upgraded into a dynamic scatter plot equipped with a time-series </w:t>
      </w:r>
      <w:r w:rsidRPr="001D6170">
        <w:rPr>
          <w:i/>
          <w:iCs/>
        </w:rPr>
        <w:t>Play Axis</w:t>
      </w:r>
      <w:r w:rsidRPr="001D6170">
        <w:t>. This animates the V4 countries' progress over nearly three decades, vividly demonstrating how efficiently each nation translated growing wealth into life expectancy year over year.</w:t>
      </w:r>
    </w:p>
    <w:p w:rsidR="001D6170" w:rsidRPr="001D6170" w:rsidRDefault="001D6170" w:rsidP="001D6170">
      <w:pPr>
        <w:pStyle w:val="NormlWeb"/>
        <w:numPr>
          <w:ilvl w:val="0"/>
          <w:numId w:val="5"/>
        </w:numPr>
        <w:spacing w:line="276" w:lineRule="auto"/>
        <w:jc w:val="both"/>
      </w:pPr>
      <w:r w:rsidRPr="001D6170">
        <w:rPr>
          <w:bCs/>
        </w:rPr>
        <w:t>Scalable Stagflation Analysis:</w:t>
      </w:r>
      <w:r w:rsidRPr="001D6170">
        <w:t xml:space="preserve"> The dual-axis analysis originally focused only on Hungary was expanded. Using interactive Slicers and explicit DAX measures (e.g., dynamic averages for GDP and Inflation), users can now instantly switch between Hungary, Poland, Czechia, and Slovakia to compare how different monetary policies and economic structures reacted to the 2022 global energy crisis.</w:t>
      </w:r>
    </w:p>
    <w:p w:rsidR="001D6170" w:rsidRPr="001D6170" w:rsidRDefault="001D6170" w:rsidP="001D6170">
      <w:pPr>
        <w:pStyle w:val="NormlWeb"/>
        <w:numPr>
          <w:ilvl w:val="0"/>
          <w:numId w:val="5"/>
        </w:numPr>
        <w:spacing w:line="276" w:lineRule="auto"/>
        <w:jc w:val="both"/>
      </w:pPr>
      <w:r w:rsidRPr="001D6170">
        <w:rPr>
          <w:bCs/>
        </w:rPr>
        <w:lastRenderedPageBreak/>
        <w:t>Interactive GDP Convergence Tracking:</w:t>
      </w:r>
      <w:r w:rsidRPr="001D6170">
        <w:t xml:space="preserve"> Utilizing dynamic X-axis constant lines to mark historical milestones (2004, 2008, 2020), allowing users to hover over data points for precise tooltips and drill down into specific historical date ranges.</w:t>
      </w:r>
    </w:p>
    <w:p w:rsidR="001D6170" w:rsidRPr="001D6170" w:rsidRDefault="001D6170" w:rsidP="001D6170">
      <w:pPr>
        <w:pStyle w:val="NormlWeb"/>
        <w:spacing w:line="276" w:lineRule="auto"/>
        <w:jc w:val="both"/>
      </w:pPr>
      <w:r w:rsidRPr="001D6170">
        <w:rPr>
          <w:bCs/>
        </w:rPr>
        <w:t>Final Business Takeaway:</w:t>
      </w:r>
      <w:r w:rsidRPr="001D6170">
        <w:t xml:space="preserve"> By integrating Python for heavy data wrangling (ETL) and Power BI for interactive visualization, this project demonstrates a complete, end-to-end data analytics workflow. It bridges the gap between raw data processing and executive-level storytelling, providing actionable insights in a format ready for business stakeholders.</w:t>
      </w:r>
    </w:p>
    <w:p w:rsidR="009B701B" w:rsidRPr="001D6170" w:rsidRDefault="009B701B" w:rsidP="001D6170">
      <w:pPr>
        <w:pStyle w:val="NormlWeb"/>
        <w:spacing w:line="276" w:lineRule="auto"/>
        <w:jc w:val="both"/>
      </w:pPr>
    </w:p>
    <w:p w:rsidR="00BD7EBF" w:rsidRPr="009B701B" w:rsidRDefault="00BD7EBF" w:rsidP="009B701B">
      <w:pPr>
        <w:pStyle w:val="NormlWeb"/>
        <w:spacing w:line="276" w:lineRule="auto"/>
        <w:jc w:val="both"/>
      </w:pPr>
    </w:p>
    <w:p w:rsidR="00E00F5F" w:rsidRPr="009B701B" w:rsidRDefault="00E00F5F" w:rsidP="009B701B">
      <w:pPr>
        <w:jc w:val="both"/>
        <w:rPr>
          <w:rFonts w:ascii="Times New Roman" w:hAnsi="Times New Roman" w:cs="Times New Roman"/>
          <w:sz w:val="24"/>
          <w:szCs w:val="24"/>
        </w:rPr>
      </w:pPr>
    </w:p>
    <w:sectPr w:rsidR="00E00F5F" w:rsidRPr="009B701B" w:rsidSect="006D1E2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692555"/>
    <w:multiLevelType w:val="multilevel"/>
    <w:tmpl w:val="ECF8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8256E9"/>
    <w:multiLevelType w:val="multilevel"/>
    <w:tmpl w:val="E16C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D93CDB"/>
    <w:multiLevelType w:val="multilevel"/>
    <w:tmpl w:val="CE8E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DEC1B29"/>
    <w:multiLevelType w:val="multilevel"/>
    <w:tmpl w:val="4620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9A526A2"/>
    <w:multiLevelType w:val="multilevel"/>
    <w:tmpl w:val="A764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08"/>
  <w:hyphenationZone w:val="425"/>
  <w:characterSpacingControl w:val="doNotCompress"/>
  <w:compat>
    <w:useFELayout/>
  </w:compat>
  <w:rsids>
    <w:rsidRoot w:val="004C660C"/>
    <w:rsid w:val="0014582E"/>
    <w:rsid w:val="001D6170"/>
    <w:rsid w:val="002171FB"/>
    <w:rsid w:val="004C660C"/>
    <w:rsid w:val="005310D8"/>
    <w:rsid w:val="006D1E2F"/>
    <w:rsid w:val="009524E4"/>
    <w:rsid w:val="009B701B"/>
    <w:rsid w:val="00BD7EBF"/>
    <w:rsid w:val="00BF7B81"/>
    <w:rsid w:val="00D00467"/>
    <w:rsid w:val="00E00F5F"/>
  </w:rsids>
  <m:mathPr>
    <m:mathFont m:val="Cambria Math"/>
    <m:brkBin m:val="before"/>
    <m:brkBinSub m:val="--"/>
    <m:smallFrac m:val="off"/>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hu-HU" w:eastAsia="hu-H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qFormat/>
    <w:rsid w:val="006D1E2F"/>
  </w:style>
  <w:style w:type="paragraph" w:styleId="Cmsor3">
    <w:name w:val="heading 3"/>
    <w:basedOn w:val="Norml"/>
    <w:link w:val="Cmsor3Char"/>
    <w:uiPriority w:val="9"/>
    <w:qFormat/>
    <w:rsid w:val="00BF7B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Bekezdsalapbettpusa">
    <w:name w:val="Default Paragraph Font"/>
    <w:uiPriority w:val="1"/>
    <w:semiHidden/>
    <w:unhideWhenUsed/>
  </w:style>
  <w:style w:type="table" w:default="1" w:styleId="Normltblzat">
    <w:name w:val="Normal Table"/>
    <w:uiPriority w:val="99"/>
    <w:semiHidden/>
    <w:unhideWhenUsed/>
    <w:qFormat/>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styleId="Hiperhivatkozs">
    <w:name w:val="Hyperlink"/>
    <w:basedOn w:val="Bekezdsalapbettpusa"/>
    <w:uiPriority w:val="99"/>
    <w:unhideWhenUsed/>
    <w:rsid w:val="004C660C"/>
    <w:rPr>
      <w:color w:val="0000FF" w:themeColor="hyperlink"/>
      <w:u w:val="single"/>
    </w:rPr>
  </w:style>
  <w:style w:type="character" w:styleId="Kiemels2">
    <w:name w:val="Strong"/>
    <w:basedOn w:val="Bekezdsalapbettpusa"/>
    <w:uiPriority w:val="22"/>
    <w:qFormat/>
    <w:rsid w:val="00E00F5F"/>
    <w:rPr>
      <w:b/>
      <w:bCs/>
    </w:rPr>
  </w:style>
  <w:style w:type="paragraph" w:customStyle="1" w:styleId="pdq2pgselectionanchorcontainer">
    <w:name w:val="pdq2pg_selectionanchorcontainer"/>
    <w:basedOn w:val="Norml"/>
    <w:rsid w:val="00E00F5F"/>
    <w:pPr>
      <w:spacing w:before="100" w:beforeAutospacing="1" w:after="100" w:afterAutospacing="1" w:line="240" w:lineRule="auto"/>
    </w:pPr>
    <w:rPr>
      <w:rFonts w:ascii="Times New Roman" w:eastAsia="Times New Roman" w:hAnsi="Times New Roman" w:cs="Times New Roman"/>
      <w:sz w:val="24"/>
      <w:szCs w:val="24"/>
    </w:rPr>
  </w:style>
  <w:style w:type="paragraph" w:styleId="NormlWeb">
    <w:name w:val="Normal (Web)"/>
    <w:basedOn w:val="Norml"/>
    <w:uiPriority w:val="99"/>
    <w:semiHidden/>
    <w:unhideWhenUsed/>
    <w:rsid w:val="00E00F5F"/>
    <w:pPr>
      <w:spacing w:before="100" w:beforeAutospacing="1" w:after="100" w:afterAutospacing="1" w:line="240" w:lineRule="auto"/>
    </w:pPr>
    <w:rPr>
      <w:rFonts w:ascii="Times New Roman" w:eastAsia="Times New Roman" w:hAnsi="Times New Roman" w:cs="Times New Roman"/>
      <w:sz w:val="24"/>
      <w:szCs w:val="24"/>
    </w:rPr>
  </w:style>
  <w:style w:type="character" w:styleId="HTML-kd">
    <w:name w:val="HTML Code"/>
    <w:basedOn w:val="Bekezdsalapbettpusa"/>
    <w:uiPriority w:val="99"/>
    <w:semiHidden/>
    <w:unhideWhenUsed/>
    <w:rsid w:val="00E00F5F"/>
    <w:rPr>
      <w:rFonts w:ascii="Courier New" w:eastAsia="Times New Roman" w:hAnsi="Courier New" w:cs="Courier New"/>
      <w:sz w:val="20"/>
      <w:szCs w:val="20"/>
    </w:rPr>
  </w:style>
  <w:style w:type="character" w:customStyle="1" w:styleId="Cmsor3Char">
    <w:name w:val="Címsor 3 Char"/>
    <w:basedOn w:val="Bekezdsalapbettpusa"/>
    <w:link w:val="Cmsor3"/>
    <w:uiPriority w:val="9"/>
    <w:rsid w:val="00BF7B81"/>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248083713">
      <w:bodyDiv w:val="1"/>
      <w:marLeft w:val="0"/>
      <w:marRight w:val="0"/>
      <w:marTop w:val="0"/>
      <w:marBottom w:val="0"/>
      <w:divBdr>
        <w:top w:val="none" w:sz="0" w:space="0" w:color="auto"/>
        <w:left w:val="none" w:sz="0" w:space="0" w:color="auto"/>
        <w:bottom w:val="none" w:sz="0" w:space="0" w:color="auto"/>
        <w:right w:val="none" w:sz="0" w:space="0" w:color="auto"/>
      </w:divBdr>
    </w:div>
    <w:div w:id="294335493">
      <w:bodyDiv w:val="1"/>
      <w:marLeft w:val="0"/>
      <w:marRight w:val="0"/>
      <w:marTop w:val="0"/>
      <w:marBottom w:val="0"/>
      <w:divBdr>
        <w:top w:val="none" w:sz="0" w:space="0" w:color="auto"/>
        <w:left w:val="none" w:sz="0" w:space="0" w:color="auto"/>
        <w:bottom w:val="none" w:sz="0" w:space="0" w:color="auto"/>
        <w:right w:val="none" w:sz="0" w:space="0" w:color="auto"/>
      </w:divBdr>
    </w:div>
    <w:div w:id="309868434">
      <w:bodyDiv w:val="1"/>
      <w:marLeft w:val="0"/>
      <w:marRight w:val="0"/>
      <w:marTop w:val="0"/>
      <w:marBottom w:val="0"/>
      <w:divBdr>
        <w:top w:val="none" w:sz="0" w:space="0" w:color="auto"/>
        <w:left w:val="none" w:sz="0" w:space="0" w:color="auto"/>
        <w:bottom w:val="none" w:sz="0" w:space="0" w:color="auto"/>
        <w:right w:val="none" w:sz="0" w:space="0" w:color="auto"/>
      </w:divBdr>
      <w:divsChild>
        <w:div w:id="127207708">
          <w:marLeft w:val="0"/>
          <w:marRight w:val="0"/>
          <w:marTop w:val="0"/>
          <w:marBottom w:val="0"/>
          <w:divBdr>
            <w:top w:val="none" w:sz="0" w:space="0" w:color="auto"/>
            <w:left w:val="none" w:sz="0" w:space="0" w:color="auto"/>
            <w:bottom w:val="none" w:sz="0" w:space="0" w:color="auto"/>
            <w:right w:val="none" w:sz="0" w:space="0" w:color="auto"/>
          </w:divBdr>
          <w:divsChild>
            <w:div w:id="700858556">
              <w:marLeft w:val="0"/>
              <w:marRight w:val="0"/>
              <w:marTop w:val="0"/>
              <w:marBottom w:val="0"/>
              <w:divBdr>
                <w:top w:val="none" w:sz="0" w:space="0" w:color="auto"/>
                <w:left w:val="none" w:sz="0" w:space="0" w:color="auto"/>
                <w:bottom w:val="none" w:sz="0" w:space="0" w:color="auto"/>
                <w:right w:val="none" w:sz="0" w:space="0" w:color="auto"/>
              </w:divBdr>
              <w:divsChild>
                <w:div w:id="1445540989">
                  <w:marLeft w:val="0"/>
                  <w:marRight w:val="0"/>
                  <w:marTop w:val="0"/>
                  <w:marBottom w:val="0"/>
                  <w:divBdr>
                    <w:top w:val="none" w:sz="0" w:space="0" w:color="auto"/>
                    <w:left w:val="none" w:sz="0" w:space="0" w:color="auto"/>
                    <w:bottom w:val="none" w:sz="0" w:space="0" w:color="auto"/>
                    <w:right w:val="none" w:sz="0" w:space="0" w:color="auto"/>
                  </w:divBdr>
                  <w:divsChild>
                    <w:div w:id="127463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001321">
      <w:bodyDiv w:val="1"/>
      <w:marLeft w:val="0"/>
      <w:marRight w:val="0"/>
      <w:marTop w:val="0"/>
      <w:marBottom w:val="0"/>
      <w:divBdr>
        <w:top w:val="none" w:sz="0" w:space="0" w:color="auto"/>
        <w:left w:val="none" w:sz="0" w:space="0" w:color="auto"/>
        <w:bottom w:val="none" w:sz="0" w:space="0" w:color="auto"/>
        <w:right w:val="none" w:sz="0" w:space="0" w:color="auto"/>
      </w:divBdr>
    </w:div>
    <w:div w:id="630095531">
      <w:bodyDiv w:val="1"/>
      <w:marLeft w:val="0"/>
      <w:marRight w:val="0"/>
      <w:marTop w:val="0"/>
      <w:marBottom w:val="0"/>
      <w:divBdr>
        <w:top w:val="none" w:sz="0" w:space="0" w:color="auto"/>
        <w:left w:val="none" w:sz="0" w:space="0" w:color="auto"/>
        <w:bottom w:val="none" w:sz="0" w:space="0" w:color="auto"/>
        <w:right w:val="none" w:sz="0" w:space="0" w:color="auto"/>
      </w:divBdr>
    </w:div>
    <w:div w:id="636451223">
      <w:bodyDiv w:val="1"/>
      <w:marLeft w:val="0"/>
      <w:marRight w:val="0"/>
      <w:marTop w:val="0"/>
      <w:marBottom w:val="0"/>
      <w:divBdr>
        <w:top w:val="none" w:sz="0" w:space="0" w:color="auto"/>
        <w:left w:val="none" w:sz="0" w:space="0" w:color="auto"/>
        <w:bottom w:val="none" w:sz="0" w:space="0" w:color="auto"/>
        <w:right w:val="none" w:sz="0" w:space="0" w:color="auto"/>
      </w:divBdr>
    </w:div>
    <w:div w:id="665935927">
      <w:bodyDiv w:val="1"/>
      <w:marLeft w:val="0"/>
      <w:marRight w:val="0"/>
      <w:marTop w:val="0"/>
      <w:marBottom w:val="0"/>
      <w:divBdr>
        <w:top w:val="none" w:sz="0" w:space="0" w:color="auto"/>
        <w:left w:val="none" w:sz="0" w:space="0" w:color="auto"/>
        <w:bottom w:val="none" w:sz="0" w:space="0" w:color="auto"/>
        <w:right w:val="none" w:sz="0" w:space="0" w:color="auto"/>
      </w:divBdr>
      <w:divsChild>
        <w:div w:id="1188250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020276">
      <w:bodyDiv w:val="1"/>
      <w:marLeft w:val="0"/>
      <w:marRight w:val="0"/>
      <w:marTop w:val="0"/>
      <w:marBottom w:val="0"/>
      <w:divBdr>
        <w:top w:val="none" w:sz="0" w:space="0" w:color="auto"/>
        <w:left w:val="none" w:sz="0" w:space="0" w:color="auto"/>
        <w:bottom w:val="none" w:sz="0" w:space="0" w:color="auto"/>
        <w:right w:val="none" w:sz="0" w:space="0" w:color="auto"/>
      </w:divBdr>
    </w:div>
    <w:div w:id="209643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tabank.worldbank.org/source/world-development-indicators" TargetMode="Externa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5</Pages>
  <Words>1516</Words>
  <Characters>10462</Characters>
  <Application>Microsoft Office Word</Application>
  <DocSecurity>0</DocSecurity>
  <Lines>87</Lines>
  <Paragraphs>23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11955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Szilveszter</dc:creator>
  <cp:keywords/>
  <dc:description/>
  <cp:lastModifiedBy>Szilveszter</cp:lastModifiedBy>
  <cp:revision>8</cp:revision>
  <dcterms:created xsi:type="dcterms:W3CDTF">2026-08-26T19:36:00Z</dcterms:created>
  <dcterms:modified xsi:type="dcterms:W3CDTF">2026-08-29T10:18:00Z</dcterms:modified>
</cp:coreProperties>
</file>