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r>
        <w:rPr>
          <w:rFonts w:ascii="Segoe UI" w:hAnsi="Segoe UI"/>
          <w:b/>
          <w:i w:val="0"/>
          <w:color w:val="D95A0E"/>
          <w:sz w:val="22"/>
        </w:rPr>
        <w:t>SQUAD DJOLOFF — DJ-01</w:t>
      </w:r>
    </w:p>
    <w:p>
      <w:pPr>
        <w:spacing w:before="0" w:after="120"/>
      </w:pPr>
      <w:r>
        <w:rPr>
          <w:rFonts w:ascii="Segoe UI" w:hAnsi="Segoe UI"/>
          <w:b/>
          <w:i w:val="0"/>
          <w:color w:val="14181F"/>
          <w:sz w:val="68"/>
        </w:rPr>
        <w:t>Learner Success</w:t>
      </w:r>
    </w:p>
    <w:p>
      <w:pPr>
        <w:spacing w:before="0" w:after="800"/>
      </w:pPr>
      <w:r>
        <w:rPr>
          <w:rFonts w:ascii="Segoe UI" w:hAnsi="Segoe UI"/>
          <w:b w:val="0"/>
          <w:i w:val="0"/>
          <w:color w:val="5A626E"/>
          <w:sz w:val="26"/>
        </w:rPr>
        <w:t>Détecter le décrochage des apprenants, expliquer pourquoi, et prévenir le mentor avant qu'il soit trop tard.</w:t>
      </w:r>
    </w:p>
    <w:p>
      <w:pPr>
        <w:spacing w:before="0" w:after="120"/>
      </w:pPr>
      <w:r>
        <w:rPr>
          <w:rFonts w:ascii="Segoe UI" w:hAnsi="Segoe UI"/>
          <w:b/>
          <w:i w:val="0"/>
          <w:color w:val="14181F"/>
          <w:sz w:val="28"/>
        </w:rPr>
        <w:t>Rapport de projet</w:t>
      </w:r>
    </w:p>
    <w:p>
      <w:pPr>
        <w:spacing w:before="0" w:after="600"/>
      </w:pPr>
      <w:r>
        <w:rPr>
          <w:rFonts w:ascii="Segoe UI" w:hAnsi="Segoe UI"/>
          <w:b w:val="0"/>
          <w:i w:val="0"/>
          <w:color w:val="5A626E"/>
          <w:sz w:val="22"/>
        </w:rPr>
        <w:t>Xarala Talent Camp — Demo Day du 11 septembre 2026</w:t>
      </w:r>
    </w:p>
    <w:p>
      <w:pPr>
        <w:spacing w:before="0" w:after="80"/>
      </w:pPr>
      <w:r>
        <w:rPr>
          <w:rFonts w:ascii="Segoe UI" w:hAnsi="Segoe UI"/>
          <w:b/>
          <w:i w:val="0"/>
          <w:color w:val="14181F"/>
          <w:sz w:val="22"/>
        </w:rPr>
        <w:t>Équipe</w:t>
      </w:r>
    </w:p>
    <w:p>
      <w:pPr>
        <w:spacing w:before="0" w:after="40"/>
      </w:pPr>
      <w:r>
        <w:rPr>
          <w:rFonts w:ascii="Segoe UI" w:hAnsi="Segoe UI"/>
          <w:b w:val="0"/>
          <w:i w:val="0"/>
          <w:color w:val="5A626E"/>
          <w:sz w:val="21"/>
        </w:rPr>
        <w:t>Papa Malick NDIAYE — moteur, données, alertes, mise en ligne</w:t>
      </w:r>
    </w:p>
    <w:p>
      <w:pPr>
        <w:spacing w:before="0" w:after="40"/>
      </w:pPr>
      <w:r>
        <w:rPr>
          <w:rFonts w:ascii="Segoe UI" w:hAnsi="Segoe UI"/>
          <w:b w:val="0"/>
          <w:i w:val="0"/>
          <w:color w:val="5A626E"/>
          <w:sz w:val="21"/>
        </w:rPr>
        <w:t>Cheikh Massamba Dia — interface du mentor</w:t>
      </w:r>
    </w:p>
    <w:p>
      <w:pPr>
        <w:spacing w:before="0" w:after="600"/>
      </w:pPr>
      <w:r>
        <w:rPr>
          <w:rFonts w:ascii="Segoe UI" w:hAnsi="Segoe UI"/>
          <w:b w:val="0"/>
          <w:i w:val="0"/>
          <w:color w:val="5A626E"/>
          <w:sz w:val="21"/>
        </w:rPr>
        <w:t>Kiné DIALLO — produit, terrain, livrables</w:t>
      </w:r>
    </w:p>
    <w:p>
      <w:pPr>
        <w:spacing w:before="0" w:after="40"/>
      </w:pPr>
      <w:r>
        <w:rPr>
          <w:rFonts w:ascii="Segoe UI" w:hAnsi="Segoe UI"/>
          <w:b w:val="0"/>
          <w:i w:val="0"/>
          <w:color w:val="5A626E"/>
          <w:sz w:val="20"/>
        </w:rPr>
        <w:t>En ligne : learner-success-front.onrender.com/learner-success</w:t>
      </w:r>
    </w:p>
    <w:p>
      <w:pPr>
        <w:spacing w:before="0" w:after="140"/>
      </w:pPr>
      <w:r>
        <w:rPr>
          <w:rFonts w:ascii="Segoe UI" w:hAnsi="Segoe UI"/>
          <w:b w:val="0"/>
          <w:i w:val="0"/>
          <w:color w:val="5A626E"/>
          <w:sz w:val="20"/>
        </w:rPr>
        <w:t>Dépôt : gitlab.com/xarala221/squad-djolof</w:t>
      </w:r>
    </w:p>
    <w:p>
      <w:r>
        <w:br w:type="page"/>
      </w:r>
    </w:p>
    <w:p>
      <w:pPr>
        <w:spacing w:before="0" w:after="80"/>
      </w:pPr>
      <w:r>
        <w:rPr>
          <w:rFonts w:ascii="Segoe UI" w:hAnsi="Segoe UI"/>
          <w:b/>
          <w:i w:val="0"/>
          <w:color w:val="14181F"/>
          <w:sz w:val="38"/>
        </w:rPr>
        <w:t>1.  Le problème</w:t>
      </w:r>
    </w:p>
    <w:p>
      <w:pPr>
        <w:spacing w:after="240"/>
      </w:pPr>
      <w:r>
        <w:rPr>
          <w:color w:val="D95A0E"/>
          <w:sz w:val="20"/>
        </w:rPr>
        <w:t>————————————————————————————</w:t>
      </w:r>
    </w:p>
    <w:p>
      <w:pPr>
        <w:spacing w:before="0" w:after="140"/>
      </w:pPr>
      <w:r>
        <w:rPr>
          <w:rFonts w:ascii="Segoe UI" w:hAnsi="Segoe UI"/>
          <w:b w:val="0"/>
          <w:i w:val="0"/>
          <w:color w:val="14181F"/>
          <w:sz w:val="21"/>
        </w:rPr>
        <w:t>Un mentor de Xarala suit une cinquantaine d'apprenants à la fois. Aujourd'hui, il ne sait pas lesquels sont en train de décrocher : il s'en aperçoit quand l'apprenant a déjà disparu — et à ce moment-là, le rattrapage coûte beaucoup plus cher qu'un simple appel passé à temps.</w:t>
      </w:r>
    </w:p>
    <w:p>
      <w:pPr>
        <w:spacing w:before="0" w:after="140"/>
      </w:pPr>
      <w:r>
        <w:rPr>
          <w:rFonts w:ascii="Segoe UI" w:hAnsi="Segoe UI"/>
          <w:b w:val="0"/>
          <w:i w:val="0"/>
          <w:color w:val="14181F"/>
          <w:sz w:val="21"/>
        </w:rPr>
        <w:t>Les signaux existent pourtant déjà dans la plateforme : les absences en séance, les connexions, la progression dans les modules. Trois signaux, trois endroits différents, et personne pour les regarder ensemble. Quand une relance est faite, elle est notée sur un fichier Excel personnel : personne ne sait, quinze jours plus tard, si elle a servi à quelque chose.</w:t>
      </w:r>
    </w:p>
    <w:p>
      <w:pPr>
        <w:spacing w:before="280" w:after="100"/>
      </w:pPr>
      <w:r>
        <w:rPr>
          <w:rFonts w:ascii="Segoe UI" w:hAnsi="Segoe UI"/>
          <w:b/>
          <w:i w:val="0"/>
          <w:color w:val="D95A0E"/>
          <w:sz w:val="26"/>
        </w:rPr>
        <w:t>Le constat qui a orienté tout le projet</w:t>
      </w:r>
    </w:p>
    <w:p>
      <w:pPr>
        <w:spacing w:before="0" w:after="140"/>
      </w:pPr>
      <w:r>
        <w:rPr>
          <w:rFonts w:ascii="Segoe UI" w:hAnsi="Segoe UI"/>
          <w:b w:val="0"/>
          <w:i w:val="0"/>
          <w:color w:val="14181F"/>
          <w:sz w:val="21"/>
        </w:rPr>
        <w:t>Un premier prototype aurait pu s'arrêter à un tableau de bord. Nous nous sommes rendu compte d'une limite simple : un tableau de bord ne sert qu'à celui qui pense à l'ouvrir. Un mentor débordé ne l'ouvre pas tous les matins. C'est ce constat qui a fait naître la partie la plus utile du produit — la notification qui sort de l'application et va chercher le mentor dans sa boîte mail.</w:t>
      </w:r>
    </w:p>
    <w:p>
      <w:pPr>
        <w:spacing w:before="280" w:after="100"/>
      </w:pPr>
      <w:r>
        <w:rPr>
          <w:rFonts w:ascii="Segoe UI" w:hAnsi="Segoe UI"/>
          <w:b/>
          <w:i w:val="0"/>
          <w:color w:val="D95A0E"/>
          <w:sz w:val="26"/>
        </w:rPr>
        <w:t>La cible</w:t>
      </w:r>
    </w:p>
    <w:p>
      <w:pPr>
        <w:spacing w:before="0" w:after="140"/>
      </w:pPr>
      <w:r>
        <w:rPr>
          <w:rFonts w:ascii="Segoe UI" w:hAnsi="Segoe UI"/>
          <w:b w:val="0"/>
          <w:i w:val="0"/>
          <w:color w:val="14181F"/>
          <w:sz w:val="21"/>
        </w:rPr>
        <w:t>L'outil s'adresse à un seul utilisateur : le mentor de cohorte, celui qui relance les apprenants chaque semaine. Ni la direction, ni l'administration. Ce choix a été tenu jusqu'au bout : chaque écran répond à une question que se pose ce mentor-là.</w:t>
      </w:r>
    </w:p>
    <w:p>
      <w:pPr>
        <w:pStyle w:val="ListBullet"/>
        <w:spacing w:after="80"/>
      </w:pPr>
      <w:r>
        <w:rPr>
          <w:rFonts w:ascii="Segoe UI" w:hAnsi="Segoe UI"/>
          <w:sz w:val="21"/>
        </w:rPr>
        <w:t>Deux entretiens terrain menés avant d'écrire la moindre ligne de code.</w:t>
      </w:r>
    </w:p>
    <w:p>
      <w:pPr>
        <w:pStyle w:val="ListBullet"/>
        <w:spacing w:after="80"/>
      </w:pPr>
      <w:r>
        <w:rPr>
          <w:rFonts w:ascii="Segoe UI" w:hAnsi="Segoe UI"/>
          <w:sz w:val="21"/>
        </w:rPr>
        <w:t>Un persona et une formulation du problème validés avec l'encadrement.</w:t>
      </w:r>
    </w:p>
    <w:p>
      <w:pPr>
        <w:pStyle w:val="ListBullet"/>
        <w:spacing w:after="80"/>
      </w:pPr>
      <w:r>
        <w:rPr>
          <w:rFonts w:ascii="Segoe UI" w:hAnsi="Segoe UI"/>
          <w:sz w:val="21"/>
        </w:rPr>
        <w:t>Neuf besoins classés par priorité, dont le périmètre du MVP a été extrait.</w:t>
      </w:r>
    </w:p>
    <w:p>
      <w:r>
        <w:br w:type="page"/>
      </w:r>
    </w:p>
    <w:p>
      <w:pPr>
        <w:spacing w:before="0" w:after="80"/>
      </w:pPr>
      <w:r>
        <w:rPr>
          <w:rFonts w:ascii="Segoe UI" w:hAnsi="Segoe UI"/>
          <w:b/>
          <w:i w:val="0"/>
          <w:color w:val="14181F"/>
          <w:sz w:val="38"/>
        </w:rPr>
        <w:t>2.  La solution livrée</w:t>
      </w:r>
    </w:p>
    <w:p>
      <w:pPr>
        <w:spacing w:after="240"/>
      </w:pPr>
      <w:r>
        <w:rPr>
          <w:color w:val="D95A0E"/>
          <w:sz w:val="20"/>
        </w:rPr>
        <w:t>————————————————————————————</w:t>
      </w:r>
    </w:p>
    <w:p>
      <w:pPr>
        <w:spacing w:before="0" w:after="140"/>
      </w:pPr>
      <w:r>
        <w:rPr>
          <w:rFonts w:ascii="Segoe UI" w:hAnsi="Segoe UI"/>
          <w:b w:val="0"/>
          <w:i w:val="0"/>
          <w:color w:val="14181F"/>
          <w:sz w:val="21"/>
        </w:rPr>
        <w:t>Learner Success fait trois choses, dans cet ordre.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rFonts w:ascii="Segoe UI" w:hAnsi="Segoe UI"/>
                <w:b/>
                <w:sz w:val="20"/>
              </w:rPr>
              <w:t>Étape</w:t>
            </w:r>
          </w:p>
        </w:tc>
        <w:tc>
          <w:tcPr>
            <w:tcW w:type="dxa" w:w="3173"/>
          </w:tcPr>
          <w:p>
            <w:r/>
            <w:r>
              <w:rPr>
                <w:rFonts w:ascii="Segoe UI" w:hAnsi="Segoe UI"/>
                <w:b/>
                <w:sz w:val="20"/>
              </w:rPr>
              <w:t>Ce que fait l'outil</w:t>
            </w:r>
          </w:p>
        </w:tc>
        <w:tc>
          <w:tcPr>
            <w:tcW w:type="dxa" w:w="3173"/>
          </w:tcPr>
          <w:p>
            <w:r/>
            <w:r>
              <w:rPr>
                <w:rFonts w:ascii="Segoe UI" w:hAnsi="Segoe UI"/>
                <w:b/>
                <w:sz w:val="20"/>
              </w:rPr>
              <w:t>Ce que ça change pour le mentor</w:t>
            </w:r>
          </w:p>
        </w:tc>
      </w:tr>
      <w:tr>
        <w:tc>
          <w:tcPr>
            <w:tcW w:type="dxa" w:w="3173"/>
          </w:tcPr>
          <w:p>
            <w:r/>
            <w:r>
              <w:rPr>
                <w:rFonts w:ascii="Segoe UI" w:hAnsi="Segoe UI"/>
                <w:sz w:val="20"/>
              </w:rPr>
              <w:t>Détecter</w:t>
            </w:r>
          </w:p>
        </w:tc>
        <w:tc>
          <w:tcPr>
            <w:tcW w:type="dxa" w:w="3173"/>
          </w:tcPr>
          <w:p>
            <w:r/>
            <w:r>
              <w:rPr>
                <w:rFonts w:ascii="Segoe UI" w:hAnsi="Segoe UI"/>
                <w:sz w:val="20"/>
              </w:rPr>
              <w:t>Attribue à chaque apprenant un feu rouge, orange ou vert</w:t>
            </w:r>
          </w:p>
        </w:tc>
        <w:tc>
          <w:tcPr>
            <w:tcW w:type="dxa" w:w="3173"/>
          </w:tcPr>
          <w:p>
            <w:r/>
            <w:r>
              <w:rPr>
                <w:rFonts w:ascii="Segoe UI" w:hAnsi="Segoe UI"/>
                <w:sz w:val="20"/>
              </w:rPr>
              <w:t>Il sait qui relancer en priorité, sans fouiller</w:t>
            </w:r>
          </w:p>
        </w:tc>
      </w:tr>
      <w:tr>
        <w:tc>
          <w:tcPr>
            <w:tcW w:type="dxa" w:w="3173"/>
          </w:tcPr>
          <w:p>
            <w:r/>
            <w:r>
              <w:rPr>
                <w:rFonts w:ascii="Segoe UI" w:hAnsi="Segoe UI"/>
                <w:sz w:val="20"/>
              </w:rPr>
              <w:t>Expliquer</w:t>
            </w:r>
          </w:p>
        </w:tc>
        <w:tc>
          <w:tcPr>
            <w:tcW w:type="dxa" w:w="3173"/>
          </w:tcPr>
          <w:p>
            <w:r/>
            <w:r>
              <w:rPr>
                <w:rFonts w:ascii="Segoe UI" w:hAnsi="Segoe UI"/>
                <w:sz w:val="20"/>
              </w:rPr>
              <w:t>Donne la raison du signalement en français, avec la valeur et le seuil</w:t>
            </w:r>
          </w:p>
        </w:tc>
        <w:tc>
          <w:tcPr>
            <w:tcW w:type="dxa" w:w="3173"/>
          </w:tcPr>
          <w:p>
            <w:r/>
            <w:r>
              <w:rPr>
                <w:rFonts w:ascii="Segoe UI" w:hAnsi="Segoe UI"/>
                <w:sz w:val="20"/>
              </w:rPr>
              <w:t>Il comprend, et il peut contester le score</w:t>
            </w:r>
          </w:p>
        </w:tc>
      </w:tr>
      <w:tr>
        <w:tc>
          <w:tcPr>
            <w:tcW w:type="dxa" w:w="3173"/>
          </w:tcPr>
          <w:p>
            <w:r/>
            <w:r>
              <w:rPr>
                <w:rFonts w:ascii="Segoe UI" w:hAnsi="Segoe UI"/>
                <w:sz w:val="20"/>
              </w:rPr>
              <w:t>Prévenir</w:t>
            </w:r>
          </w:p>
        </w:tc>
        <w:tc>
          <w:tcPr>
            <w:tcW w:type="dxa" w:w="3173"/>
          </w:tcPr>
          <w:p>
            <w:r/>
            <w:r>
              <w:rPr>
                <w:rFonts w:ascii="Segoe UI" w:hAnsi="Segoe UI"/>
                <w:sz w:val="20"/>
              </w:rPr>
              <w:t>Envoie un mail au mentor concerné chaque matin à 7 h</w:t>
            </w:r>
          </w:p>
        </w:tc>
        <w:tc>
          <w:tcPr>
            <w:tcW w:type="dxa" w:w="3173"/>
          </w:tcPr>
          <w:p>
            <w:r/>
            <w:r>
              <w:rPr>
                <w:rFonts w:ascii="Segoe UI" w:hAnsi="Segoe UI"/>
                <w:sz w:val="20"/>
              </w:rPr>
              <w:t>Il n'a plus besoin de penser à ouvrir l'outil</w:t>
            </w:r>
          </w:p>
        </w:tc>
      </w:tr>
    </w:tbl>
    <w:p>
      <w:pPr>
        <w:spacing w:after="120"/>
      </w:pPr>
    </w:p>
    <w:p>
      <w:pPr>
        <w:spacing w:before="0" w:after="140"/>
      </w:pPr>
      <w:r>
        <w:rPr>
          <w:rFonts w:ascii="Segoe UI" w:hAnsi="Segoe UI"/>
          <w:b w:val="0"/>
          <w:i w:val="0"/>
          <w:color w:val="14181F"/>
          <w:sz w:val="21"/>
        </w:rPr>
        <w:t>Le troisième point est celui qui distingue le produit d'un tableau de bord classique. La détection tourne toute seule, tous les matins, et ne dérange le mentor que lorsqu'une situation s'est réellement dégradée depuis la veille.</w:t>
      </w:r>
    </w:p>
    <w:p>
      <w:r>
        <w:br w:type="page"/>
      </w:r>
    </w:p>
    <w:p>
      <w:pPr>
        <w:spacing w:before="0" w:after="80"/>
      </w:pPr>
      <w:r>
        <w:rPr>
          <w:rFonts w:ascii="Segoe UI" w:hAnsi="Segoe UI"/>
          <w:b/>
          <w:i w:val="0"/>
          <w:color w:val="14181F"/>
          <w:sz w:val="38"/>
        </w:rPr>
        <w:t>3.  Le produit, écran par écran</w:t>
      </w:r>
    </w:p>
    <w:p>
      <w:pPr>
        <w:spacing w:after="240"/>
      </w:pPr>
      <w:r>
        <w:rPr>
          <w:color w:val="D95A0E"/>
          <w:sz w:val="20"/>
        </w:rPr>
        <w:t>————————————————————————————</w:t>
      </w:r>
    </w:p>
    <w:p>
      <w:pPr>
        <w:spacing w:before="280" w:after="100"/>
      </w:pPr>
      <w:r>
        <w:rPr>
          <w:rFonts w:ascii="Segoe UI" w:hAnsi="Segoe UI"/>
          <w:b/>
          <w:i w:val="0"/>
          <w:color w:val="D95A0E"/>
          <w:sz w:val="26"/>
        </w:rPr>
        <w:t>3.1  Le tableau de bord du mentor</w:t>
      </w:r>
    </w:p>
    <w:p>
      <w:pPr>
        <w:spacing w:before="0" w:after="140"/>
      </w:pPr>
      <w:r>
        <w:rPr>
          <w:rFonts w:ascii="Segoe UI" w:hAnsi="Segoe UI"/>
          <w:b w:val="0"/>
          <w:i w:val="0"/>
          <w:color w:val="14181F"/>
          <w:sz w:val="21"/>
        </w:rPr>
        <w:t>À l'ouverture, le mentor voit l'état de ses cohortes : combien d'apprenants à risque élevé, combien à risque modéré, combien suivis au total. Le filtrage par cohorte est appliqué côté serveur : un mentor ne reçoit jamais les données d'une cohorte qui ne lui est pas attribuée.</w:t>
      </w:r>
    </w:p>
    <w:p>
      <w:pPr>
        <w:spacing w:before="160" w:after="60"/>
        <w:jc w:val="center"/>
      </w:pPr>
      <w:r>
        <w:drawing>
          <wp:inline xmlns:a="http://schemas.openxmlformats.org/drawingml/2006/main" xmlns:pic="http://schemas.openxmlformats.org/drawingml/2006/picture">
            <wp:extent cx="5760000" cy="2295849"/>
            <wp:docPr id="1" name="Picture 1"/>
            <wp:cNvGraphicFramePr>
              <a:graphicFrameLocks noChangeAspect="1"/>
            </wp:cNvGraphicFramePr>
            <a:graphic>
              <a:graphicData uri="http://schemas.openxmlformats.org/drawingml/2006/picture">
                <pic:pic>
                  <pic:nvPicPr>
                    <pic:cNvPr id="0" name="screenshot-1789165906149-0.jpg"/>
                    <pic:cNvPicPr/>
                  </pic:nvPicPr>
                  <pic:blipFill>
                    <a:blip r:embed="rId9"/>
                    <a:stretch>
                      <a:fillRect/>
                    </a:stretch>
                  </pic:blipFill>
                  <pic:spPr>
                    <a:xfrm>
                      <a:off x="0" y="0"/>
                      <a:ext cx="5760000" cy="2295849"/>
                    </a:xfrm>
                    <a:prstGeom prst="rect"/>
                  </pic:spPr>
                </pic:pic>
              </a:graphicData>
            </a:graphic>
          </wp:inline>
        </w:drawing>
      </w:r>
    </w:p>
    <w:p>
      <w:pPr>
        <w:spacing w:before="0" w:after="240"/>
        <w:jc w:val="center"/>
      </w:pPr>
      <w:r>
        <w:rPr>
          <w:rFonts w:ascii="Segoe UI" w:hAnsi="Segoe UI"/>
          <w:b w:val="0"/>
          <w:i/>
          <w:color w:val="5A626E"/>
          <w:sz w:val="18"/>
        </w:rPr>
        <w:t>Figure 1 — L'état des cohortes du mentor à l'ouverture</w:t>
      </w:r>
    </w:p>
    <w:p>
      <w:pPr>
        <w:spacing w:before="0" w:after="140"/>
      </w:pPr>
      <w:r>
        <w:rPr>
          <w:rFonts w:ascii="Segoe UI" w:hAnsi="Segoe UI"/>
          <w:b w:val="0"/>
          <w:i w:val="0"/>
          <w:color w:val="14181F"/>
          <w:sz w:val="21"/>
        </w:rPr>
        <w:t>Juste en dessous, deux blocs répondent à deux questions différentes. « Alertes ouvertes » dit ce qui a changé récemment. « À traiter maintenant » dit qui relancer en priorité, avec le signal qui a fait remonter chaque apprenant.</w:t>
      </w:r>
    </w:p>
    <w:p>
      <w:pPr>
        <w:spacing w:before="160" w:after="60"/>
        <w:jc w:val="center"/>
      </w:pPr>
      <w:r>
        <w:drawing>
          <wp:inline xmlns:a="http://schemas.openxmlformats.org/drawingml/2006/main" xmlns:pic="http://schemas.openxmlformats.org/drawingml/2006/picture">
            <wp:extent cx="5760000" cy="2295849"/>
            <wp:docPr id="2" name="Picture 2"/>
            <wp:cNvGraphicFramePr>
              <a:graphicFrameLocks noChangeAspect="1"/>
            </wp:cNvGraphicFramePr>
            <a:graphic>
              <a:graphicData uri="http://schemas.openxmlformats.org/drawingml/2006/picture">
                <pic:pic>
                  <pic:nvPicPr>
                    <pic:cNvPr id="0" name="screenshot-1789165919601-1.jpg"/>
                    <pic:cNvPicPr/>
                  </pic:nvPicPr>
                  <pic:blipFill>
                    <a:blip r:embed="rId10"/>
                    <a:stretch>
                      <a:fillRect/>
                    </a:stretch>
                  </pic:blipFill>
                  <pic:spPr>
                    <a:xfrm>
                      <a:off x="0" y="0"/>
                      <a:ext cx="5760000" cy="2295849"/>
                    </a:xfrm>
                    <a:prstGeom prst="rect"/>
                  </pic:spPr>
                </pic:pic>
              </a:graphicData>
            </a:graphic>
          </wp:inline>
        </w:drawing>
      </w:r>
    </w:p>
    <w:p>
      <w:pPr>
        <w:spacing w:before="0" w:after="240"/>
        <w:jc w:val="center"/>
      </w:pPr>
      <w:r>
        <w:rPr>
          <w:rFonts w:ascii="Segoe UI" w:hAnsi="Segoe UI"/>
          <w:b w:val="0"/>
          <w:i/>
          <w:color w:val="5A626E"/>
          <w:sz w:val="18"/>
        </w:rPr>
        <w:t>Figure 2 — Les alertes ouvertes et les apprenants prioritaires</w:t>
      </w:r>
    </w:p>
    <w:p>
      <w:pPr>
        <w:spacing w:before="0" w:after="140"/>
      </w:pPr>
      <w:r>
        <w:rPr>
          <w:rFonts w:ascii="Segoe UI" w:hAnsi="Segoe UI"/>
          <w:b w:val="0"/>
          <w:i w:val="0"/>
          <w:color w:val="14181F"/>
          <w:sz w:val="21"/>
        </w:rPr>
        <w:t>La liste complète permet de filtrer par cohorte, par niveau de risque, et de changer l'ordre de tri. Chaque ligne porte les signaux observés, pas seulement une couleur.</w:t>
      </w:r>
    </w:p>
    <w:p>
      <w:pPr>
        <w:spacing w:before="160" w:after="60"/>
        <w:jc w:val="center"/>
      </w:pPr>
      <w:r>
        <w:drawing>
          <wp:inline xmlns:a="http://schemas.openxmlformats.org/drawingml/2006/main" xmlns:pic="http://schemas.openxmlformats.org/drawingml/2006/picture">
            <wp:extent cx="5760000" cy="2295849"/>
            <wp:docPr id="3" name="Picture 3"/>
            <wp:cNvGraphicFramePr>
              <a:graphicFrameLocks noChangeAspect="1"/>
            </wp:cNvGraphicFramePr>
            <a:graphic>
              <a:graphicData uri="http://schemas.openxmlformats.org/drawingml/2006/picture">
                <pic:pic>
                  <pic:nvPicPr>
                    <pic:cNvPr id="0" name="screenshot-1789165919608-3.jpg"/>
                    <pic:cNvPicPr/>
                  </pic:nvPicPr>
                  <pic:blipFill>
                    <a:blip r:embed="rId11"/>
                    <a:stretch>
                      <a:fillRect/>
                    </a:stretch>
                  </pic:blipFill>
                  <pic:spPr>
                    <a:xfrm>
                      <a:off x="0" y="0"/>
                      <a:ext cx="5760000" cy="2295849"/>
                    </a:xfrm>
                    <a:prstGeom prst="rect"/>
                  </pic:spPr>
                </pic:pic>
              </a:graphicData>
            </a:graphic>
          </wp:inline>
        </w:drawing>
      </w:r>
    </w:p>
    <w:p>
      <w:pPr>
        <w:spacing w:before="0" w:after="240"/>
        <w:jc w:val="center"/>
      </w:pPr>
      <w:r>
        <w:rPr>
          <w:rFonts w:ascii="Segoe UI" w:hAnsi="Segoe UI"/>
          <w:b w:val="0"/>
          <w:i/>
          <w:color w:val="5A626E"/>
          <w:sz w:val="18"/>
        </w:rPr>
        <w:t>Figure 3 — La liste complète, filtrable et triable</w:t>
      </w:r>
    </w:p>
    <w:p>
      <w:pPr>
        <w:spacing w:before="280" w:after="100"/>
      </w:pPr>
      <w:r>
        <w:rPr>
          <w:rFonts w:ascii="Segoe UI" w:hAnsi="Segoe UI"/>
          <w:b/>
          <w:i w:val="0"/>
          <w:color w:val="D95A0E"/>
          <w:sz w:val="26"/>
        </w:rPr>
        <w:t>3.2  La fiche d'un apprenant</w:t>
      </w:r>
    </w:p>
    <w:p>
      <w:pPr>
        <w:spacing w:before="0" w:after="140"/>
      </w:pPr>
      <w:r>
        <w:rPr>
          <w:rFonts w:ascii="Segoe UI" w:hAnsi="Segoe UI"/>
          <w:b w:val="0"/>
          <w:i w:val="0"/>
          <w:color w:val="14181F"/>
          <w:sz w:val="21"/>
        </w:rPr>
        <w:t>La fiche s'ouvre sur un résumé décisionnel : le niveau de risque, les signaux principaux, une éventuelle situation temporaire déclarée, la dernière intervention et l'état du suivi. L'objectif est qu'un mentor puisse décider sans faire défiler la page.</w:t>
      </w:r>
    </w:p>
    <w:p>
      <w:pPr>
        <w:spacing w:before="160" w:after="60"/>
        <w:jc w:val="center"/>
      </w:pPr>
      <w:r>
        <w:drawing>
          <wp:inline xmlns:a="http://schemas.openxmlformats.org/drawingml/2006/main" xmlns:pic="http://schemas.openxmlformats.org/drawingml/2006/picture">
            <wp:extent cx="5760000" cy="2291321"/>
            <wp:docPr id="4" name="Picture 4"/>
            <wp:cNvGraphicFramePr>
              <a:graphicFrameLocks noChangeAspect="1"/>
            </wp:cNvGraphicFramePr>
            <a:graphic>
              <a:graphicData uri="http://schemas.openxmlformats.org/drawingml/2006/picture">
                <pic:pic>
                  <pic:nvPicPr>
                    <pic:cNvPr id="0" name="screenshot-1789166003131-5.jpg"/>
                    <pic:cNvPicPr/>
                  </pic:nvPicPr>
                  <pic:blipFill>
                    <a:blip r:embed="rId12"/>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4 — Le résumé décisionnel, en haut de la fiche</w:t>
      </w:r>
    </w:p>
    <w:p>
      <w:pPr>
        <w:spacing w:before="0" w:after="140"/>
      </w:pPr>
      <w:r>
        <w:rPr>
          <w:rFonts w:ascii="Segoe UI" w:hAnsi="Segoe UI"/>
          <w:b w:val="0"/>
          <w:i w:val="0"/>
          <w:color w:val="14181F"/>
          <w:sz w:val="21"/>
        </w:rPr>
        <w:t>La section « Pourquoi cet apprenant est signalé ? » détaille chaque règle déclenchée, avec la valeur observée et le seuil. C'est ce qui rend le score contestable — et donc utilisable devant un apprenant.</w:t>
      </w:r>
    </w:p>
    <w:p>
      <w:pPr>
        <w:spacing w:before="160" w:after="60"/>
        <w:jc w:val="center"/>
      </w:pPr>
      <w:r>
        <w:drawing>
          <wp:inline xmlns:a="http://schemas.openxmlformats.org/drawingml/2006/main" xmlns:pic="http://schemas.openxmlformats.org/drawingml/2006/picture">
            <wp:extent cx="5760000" cy="2291321"/>
            <wp:docPr id="5" name="Picture 5"/>
            <wp:cNvGraphicFramePr>
              <a:graphicFrameLocks noChangeAspect="1"/>
            </wp:cNvGraphicFramePr>
            <a:graphic>
              <a:graphicData uri="http://schemas.openxmlformats.org/drawingml/2006/picture">
                <pic:pic>
                  <pic:nvPicPr>
                    <pic:cNvPr id="0" name="screenshot-1789166003135-6.jpg"/>
                    <pic:cNvPicPr/>
                  </pic:nvPicPr>
                  <pic:blipFill>
                    <a:blip r:embed="rId13"/>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5 — Chaque signal, avec sa valeur et son seuil</w:t>
      </w:r>
    </w:p>
    <w:p>
      <w:pPr>
        <w:spacing w:before="280" w:after="100"/>
      </w:pPr>
      <w:r>
        <w:rPr>
          <w:rFonts w:ascii="Segoe UI" w:hAnsi="Segoe UI"/>
          <w:b/>
          <w:i w:val="0"/>
          <w:color w:val="D95A0E"/>
          <w:sz w:val="26"/>
        </w:rPr>
        <w:t>3.3  Enregistrer une intervention</w:t>
      </w:r>
    </w:p>
    <w:p>
      <w:pPr>
        <w:spacing w:before="0" w:after="140"/>
      </w:pPr>
      <w:r>
        <w:rPr>
          <w:rFonts w:ascii="Segoe UI" w:hAnsi="Segoe UI"/>
          <w:b w:val="0"/>
          <w:i w:val="0"/>
          <w:color w:val="14181F"/>
          <w:sz w:val="21"/>
        </w:rPr>
        <w:t>Le mentor consigne l'action qu'il vient de mener : le type d'intervention, la cause identifiée, une note libre. L'auteur et la date sont automatiques — ils viennent du jeton de session, personne ne peut enregistrer au nom d'un autre mentor. En regard, le bloc « Après l'intervention » suit l'activité observée depuis la dernière action.</w:t>
      </w:r>
    </w:p>
    <w:p>
      <w:pPr>
        <w:spacing w:before="160" w:after="60"/>
        <w:jc w:val="center"/>
      </w:pPr>
      <w:r>
        <w:drawing>
          <wp:inline xmlns:a="http://schemas.openxmlformats.org/drawingml/2006/main" xmlns:pic="http://schemas.openxmlformats.org/drawingml/2006/picture">
            <wp:extent cx="5760000" cy="2291321"/>
            <wp:docPr id="6" name="Picture 6"/>
            <wp:cNvGraphicFramePr>
              <a:graphicFrameLocks noChangeAspect="1"/>
            </wp:cNvGraphicFramePr>
            <a:graphic>
              <a:graphicData uri="http://schemas.openxmlformats.org/drawingml/2006/picture">
                <pic:pic>
                  <pic:nvPicPr>
                    <pic:cNvPr id="0" name="screenshot-1789166015532-8.jpg"/>
                    <pic:cNvPicPr/>
                  </pic:nvPicPr>
                  <pic:blipFill>
                    <a:blip r:embed="rId14"/>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6 — Le formulaire d'intervention et le suivi d'impact</w:t>
      </w:r>
    </w:p>
    <w:p>
      <w:pPr>
        <w:spacing w:before="280" w:after="100"/>
      </w:pPr>
      <w:r>
        <w:rPr>
          <w:rFonts w:ascii="Segoe UI" w:hAnsi="Segoe UI"/>
          <w:b/>
          <w:i w:val="0"/>
          <w:color w:val="D95A0E"/>
          <w:sz w:val="26"/>
        </w:rPr>
        <w:t>3.4  L'évolution récente et l'historique</w:t>
      </w:r>
    </w:p>
    <w:p>
      <w:pPr>
        <w:spacing w:before="0" w:after="140"/>
      </w:pPr>
      <w:r>
        <w:rPr>
          <w:rFonts w:ascii="Segoe UI" w:hAnsi="Segoe UI"/>
          <w:b w:val="0"/>
          <w:i w:val="0"/>
          <w:color w:val="14181F"/>
          <w:sz w:val="21"/>
        </w:rPr>
        <w:t>L'évolution récente porte sur une fenêtre de trente jours : présence, connexions, progression. C'est ce qui permet de distinguer un creux passager d'un décrochage installé. L'historique conserve toutes les interventions, avec leur cause et leur note.</w:t>
      </w:r>
    </w:p>
    <w:p>
      <w:pPr>
        <w:spacing w:before="160" w:after="60"/>
        <w:jc w:val="center"/>
      </w:pPr>
      <w:r>
        <w:drawing>
          <wp:inline xmlns:a="http://schemas.openxmlformats.org/drawingml/2006/main" xmlns:pic="http://schemas.openxmlformats.org/drawingml/2006/picture">
            <wp:extent cx="5760000" cy="2291321"/>
            <wp:docPr id="7" name="Picture 7"/>
            <wp:cNvGraphicFramePr>
              <a:graphicFrameLocks noChangeAspect="1"/>
            </wp:cNvGraphicFramePr>
            <a:graphic>
              <a:graphicData uri="http://schemas.openxmlformats.org/drawingml/2006/picture">
                <pic:pic>
                  <pic:nvPicPr>
                    <pic:cNvPr id="0" name="screenshot-1789166015535-10.jpg"/>
                    <pic:cNvPicPr/>
                  </pic:nvPicPr>
                  <pic:blipFill>
                    <a:blip r:embed="rId15"/>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7 — L'activité observée sur trente jours</w:t>
      </w:r>
    </w:p>
    <w:p>
      <w:pPr>
        <w:spacing w:before="160" w:after="60"/>
        <w:jc w:val="center"/>
      </w:pPr>
      <w:r>
        <w:drawing>
          <wp:inline xmlns:a="http://schemas.openxmlformats.org/drawingml/2006/main" xmlns:pic="http://schemas.openxmlformats.org/drawingml/2006/picture">
            <wp:extent cx="5760000" cy="2291321"/>
            <wp:docPr id="8" name="Picture 8"/>
            <wp:cNvGraphicFramePr>
              <a:graphicFrameLocks noChangeAspect="1"/>
            </wp:cNvGraphicFramePr>
            <a:graphic>
              <a:graphicData uri="http://schemas.openxmlformats.org/drawingml/2006/picture">
                <pic:pic>
                  <pic:nvPicPr>
                    <pic:cNvPr id="0" name="screenshot-1789166015538-12.jpg"/>
                    <pic:cNvPicPr/>
                  </pic:nvPicPr>
                  <pic:blipFill>
                    <a:blip r:embed="rId16"/>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8 — L'historique des interventions</w:t>
      </w:r>
    </w:p>
    <w:p>
      <w:r>
        <w:br w:type="page"/>
      </w:r>
    </w:p>
    <w:p>
      <w:pPr>
        <w:spacing w:before="0" w:after="80"/>
      </w:pPr>
      <w:r>
        <w:rPr>
          <w:rFonts w:ascii="Segoe UI" w:hAnsi="Segoe UI"/>
          <w:b/>
          <w:i w:val="0"/>
          <w:color w:val="14181F"/>
          <w:sz w:val="38"/>
        </w:rPr>
        <w:t>4.  Comment le risque est calculé</w:t>
      </w:r>
    </w:p>
    <w:p>
      <w:pPr>
        <w:spacing w:after="240"/>
      </w:pPr>
      <w:r>
        <w:rPr>
          <w:color w:val="D95A0E"/>
          <w:sz w:val="20"/>
        </w:rPr>
        <w:t>————————————————————————————</w:t>
      </w:r>
    </w:p>
    <w:p>
      <w:pPr>
        <w:spacing w:before="0" w:after="140"/>
      </w:pPr>
      <w:r>
        <w:rPr>
          <w:rFonts w:ascii="Segoe UI" w:hAnsi="Segoe UI"/>
          <w:b w:val="0"/>
          <w:i w:val="0"/>
          <w:color w:val="14181F"/>
          <w:sz w:val="21"/>
        </w:rPr>
        <w:t>Le calcul repose sur des règles explicites, écrites à l'avance. Aucun modèle statistique, aucune boîte noire : chaque score peut être justifié devant un coach comme devant l'apprenant concerné.</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tcPr>
          <w:p>
            <w:r/>
            <w:r>
              <w:rPr>
                <w:rFonts w:ascii="Segoe UI" w:hAnsi="Segoe UI"/>
                <w:b/>
                <w:sz w:val="20"/>
              </w:rPr>
              <w:t>Signal</w:t>
            </w:r>
          </w:p>
        </w:tc>
        <w:tc>
          <w:tcPr>
            <w:tcW w:type="dxa" w:w="2379"/>
          </w:tcPr>
          <w:p>
            <w:r/>
            <w:r>
              <w:rPr>
                <w:rFonts w:ascii="Segoe UI" w:hAnsi="Segoe UI"/>
                <w:b/>
                <w:sz w:val="20"/>
              </w:rPr>
              <w:t>Rouge</w:t>
            </w:r>
          </w:p>
        </w:tc>
        <w:tc>
          <w:tcPr>
            <w:tcW w:type="dxa" w:w="2379"/>
          </w:tcPr>
          <w:p>
            <w:r/>
            <w:r>
              <w:rPr>
                <w:rFonts w:ascii="Segoe UI" w:hAnsi="Segoe UI"/>
                <w:b/>
                <w:sz w:val="20"/>
              </w:rPr>
              <w:t>Orange</w:t>
            </w:r>
          </w:p>
        </w:tc>
        <w:tc>
          <w:tcPr>
            <w:tcW w:type="dxa" w:w="2379"/>
          </w:tcPr>
          <w:p>
            <w:r/>
            <w:r>
              <w:rPr>
                <w:rFonts w:ascii="Segoe UI" w:hAnsi="Segoe UI"/>
                <w:b/>
                <w:sz w:val="20"/>
              </w:rPr>
              <w:t>Ce qui est mesuré</w:t>
            </w:r>
          </w:p>
        </w:tc>
      </w:tr>
      <w:tr>
        <w:tc>
          <w:tcPr>
            <w:tcW w:type="dxa" w:w="2379"/>
          </w:tcPr>
          <w:p>
            <w:r/>
            <w:r>
              <w:rPr>
                <w:rFonts w:ascii="Segoe UI" w:hAnsi="Segoe UI"/>
                <w:sz w:val="20"/>
              </w:rPr>
              <w:t>Absences</w:t>
            </w:r>
          </w:p>
        </w:tc>
        <w:tc>
          <w:tcPr>
            <w:tcW w:type="dxa" w:w="2379"/>
          </w:tcPr>
          <w:p>
            <w:r/>
            <w:r>
              <w:rPr>
                <w:rFonts w:ascii="Segoe UI" w:hAnsi="Segoe UI"/>
                <w:sz w:val="20"/>
              </w:rPr>
              <w:t>3 ou plus</w:t>
            </w:r>
          </w:p>
        </w:tc>
        <w:tc>
          <w:tcPr>
            <w:tcW w:type="dxa" w:w="2379"/>
          </w:tcPr>
          <w:p>
            <w:r/>
            <w:r>
              <w:rPr>
                <w:rFonts w:ascii="Segoe UI" w:hAnsi="Segoe UI"/>
                <w:sz w:val="20"/>
              </w:rPr>
              <w:t>2</w:t>
            </w:r>
          </w:p>
        </w:tc>
        <w:tc>
          <w:tcPr>
            <w:tcW w:type="dxa" w:w="2379"/>
          </w:tcPr>
          <w:p>
            <w:r/>
            <w:r>
              <w:rPr>
                <w:rFonts w:ascii="Segoe UI" w:hAnsi="Segoe UI"/>
                <w:sz w:val="20"/>
              </w:rPr>
              <w:t>absences en séance sur 30 jours</w:t>
            </w:r>
          </w:p>
        </w:tc>
      </w:tr>
      <w:tr>
        <w:tc>
          <w:tcPr>
            <w:tcW w:type="dxa" w:w="2379"/>
          </w:tcPr>
          <w:p>
            <w:r/>
            <w:r>
              <w:rPr>
                <w:rFonts w:ascii="Segoe UI" w:hAnsi="Segoe UI"/>
                <w:sz w:val="20"/>
              </w:rPr>
              <w:t>Connexions</w:t>
            </w:r>
          </w:p>
        </w:tc>
        <w:tc>
          <w:tcPr>
            <w:tcW w:type="dxa" w:w="2379"/>
          </w:tcPr>
          <w:p>
            <w:r/>
            <w:r>
              <w:rPr>
                <w:rFonts w:ascii="Segoe UI" w:hAnsi="Segoe UI"/>
                <w:sz w:val="20"/>
              </w:rPr>
              <w:t>7 jours ou plus</w:t>
            </w:r>
          </w:p>
        </w:tc>
        <w:tc>
          <w:tcPr>
            <w:tcW w:type="dxa" w:w="2379"/>
          </w:tcPr>
          <w:p>
            <w:r/>
            <w:r>
              <w:rPr>
                <w:rFonts w:ascii="Segoe UI" w:hAnsi="Segoe UI"/>
                <w:sz w:val="20"/>
              </w:rPr>
              <w:t>4 à 6 jours</w:t>
            </w:r>
          </w:p>
        </w:tc>
        <w:tc>
          <w:tcPr>
            <w:tcW w:type="dxa" w:w="2379"/>
          </w:tcPr>
          <w:p>
            <w:r/>
            <w:r>
              <w:rPr>
                <w:rFonts w:ascii="Segoe UI" w:hAnsi="Segoe UI"/>
                <w:sz w:val="20"/>
              </w:rPr>
              <w:t>jours écoulés depuis la dernière connexion</w:t>
            </w:r>
          </w:p>
        </w:tc>
      </w:tr>
      <w:tr>
        <w:tc>
          <w:tcPr>
            <w:tcW w:type="dxa" w:w="2379"/>
          </w:tcPr>
          <w:p>
            <w:r/>
            <w:r>
              <w:rPr>
                <w:rFonts w:ascii="Segoe UI" w:hAnsi="Segoe UI"/>
                <w:sz w:val="20"/>
              </w:rPr>
              <w:t>Progression</w:t>
            </w:r>
          </w:p>
        </w:tc>
        <w:tc>
          <w:tcPr>
            <w:tcW w:type="dxa" w:w="2379"/>
          </w:tcPr>
          <w:p>
            <w:r/>
            <w:r>
              <w:rPr>
                <w:rFonts w:ascii="Segoe UI" w:hAnsi="Segoe UI"/>
                <w:sz w:val="20"/>
              </w:rPr>
              <w:t>moins de 20 %</w:t>
            </w:r>
          </w:p>
        </w:tc>
        <w:tc>
          <w:tcPr>
            <w:tcW w:type="dxa" w:w="2379"/>
          </w:tcPr>
          <w:p>
            <w:r/>
            <w:r>
              <w:rPr>
                <w:rFonts w:ascii="Segoe UI" w:hAnsi="Segoe UI"/>
                <w:sz w:val="20"/>
              </w:rPr>
              <w:t>moins de 50 %</w:t>
            </w:r>
          </w:p>
        </w:tc>
        <w:tc>
          <w:tcPr>
            <w:tcW w:type="dxa" w:w="2379"/>
          </w:tcPr>
          <w:p>
            <w:r/>
            <w:r>
              <w:rPr>
                <w:rFonts w:ascii="Segoe UI" w:hAnsi="Segoe UI"/>
                <w:sz w:val="20"/>
              </w:rPr>
              <w:t>avancement dans les modules</w:t>
            </w:r>
          </w:p>
        </w:tc>
      </w:tr>
    </w:tbl>
    <w:p>
      <w:pPr>
        <w:spacing w:after="120"/>
      </w:pPr>
    </w:p>
    <w:p>
      <w:pPr>
        <w:pStyle w:val="ListBullet"/>
        <w:spacing w:after="80"/>
      </w:pPr>
      <w:r>
        <w:rPr>
          <w:rFonts w:ascii="Segoe UI" w:hAnsi="Segoe UI"/>
          <w:sz w:val="21"/>
        </w:rPr>
        <w:t>La catégorie la plus grave l'emporte : un apprenant connecté hier reste rouge s'il a trois absences.</w:t>
      </w:r>
    </w:p>
    <w:p>
      <w:pPr>
        <w:pStyle w:val="ListBullet"/>
        <w:spacing w:after="80"/>
      </w:pPr>
      <w:r>
        <w:rPr>
          <w:rFonts w:ascii="Segoe UI" w:hAnsi="Segoe UI"/>
          <w:sz w:val="21"/>
        </w:rPr>
        <w:t>Chaque score est accompagné de sa raison, formulée en français, avec la valeur observée et le seuil franchi.</w:t>
      </w:r>
    </w:p>
    <w:p>
      <w:pPr>
        <w:pStyle w:val="ListBullet"/>
        <w:spacing w:after="80"/>
      </w:pPr>
      <w:r>
        <w:rPr>
          <w:rFonts w:ascii="Segoe UI" w:hAnsi="Segoe UI"/>
          <w:sz w:val="21"/>
        </w:rPr>
        <w:t>Le niveau de risque n'est jamais stocké en base : il est recalculé à chaque lecture. Un score stocké se périmerait et pourrait être modifié à la main — donc contesté à tort.</w:t>
      </w:r>
    </w:p>
    <w:p>
      <w:pPr>
        <w:pStyle w:val="ListBullet"/>
        <w:spacing w:after="80"/>
      </w:pPr>
      <w:r>
        <w:rPr>
          <w:rFonts w:ascii="Segoe UI" w:hAnsi="Segoe UI"/>
          <w:sz w:val="21"/>
        </w:rPr>
        <w:t>Une absence justifiée ne change pas le score. Le mentor déclare une situation temporaire, qui apparaît très visiblement sur la fiche : elle explique le risque, elle ne le masque pas.</w:t>
      </w:r>
    </w:p>
    <w:p>
      <w:r>
        <w:br w:type="page"/>
      </w:r>
    </w:p>
    <w:p>
      <w:pPr>
        <w:spacing w:before="0" w:after="80"/>
      </w:pPr>
      <w:r>
        <w:rPr>
          <w:rFonts w:ascii="Segoe UI" w:hAnsi="Segoe UI"/>
          <w:b/>
          <w:i w:val="0"/>
          <w:color w:val="14181F"/>
          <w:sz w:val="38"/>
        </w:rPr>
        <w:t>5.  La détection automatique et l'alerte au mentor</w:t>
      </w:r>
    </w:p>
    <w:p>
      <w:pPr>
        <w:spacing w:after="240"/>
      </w:pPr>
      <w:r>
        <w:rPr>
          <w:color w:val="D95A0E"/>
          <w:sz w:val="20"/>
        </w:rPr>
        <w:t>————————————————————————————</w:t>
      </w:r>
    </w:p>
    <w:p>
      <w:pPr>
        <w:spacing w:before="0" w:after="140"/>
      </w:pPr>
      <w:r>
        <w:rPr>
          <w:rFonts w:ascii="Segoe UI" w:hAnsi="Segoe UI"/>
          <w:b w:val="0"/>
          <w:i w:val="0"/>
          <w:color w:val="14181F"/>
          <w:sz w:val="21"/>
        </w:rPr>
        <w:t>C'est la partie qui transforme un tableau de bord en outil de suivi. Chaque matin à 7 h, du lundi au vendredi, une passe de détection compare le score du jour au dernier score observé pour chaque apprenant.</w:t>
      </w:r>
    </w:p>
    <w:p>
      <w:pPr>
        <w:spacing w:before="280" w:after="100"/>
      </w:pPr>
      <w:r>
        <w:rPr>
          <w:rFonts w:ascii="Segoe UI" w:hAnsi="Segoe UI"/>
          <w:b/>
          <w:i w:val="0"/>
          <w:color w:val="D95A0E"/>
          <w:sz w:val="26"/>
        </w:rPr>
        <w:t>Les règles qui protègent le mentor</w:t>
      </w:r>
    </w:p>
    <w:p>
      <w:pPr>
        <w:pStyle w:val="ListBullet"/>
        <w:spacing w:after="80"/>
      </w:pPr>
      <w:r>
        <w:rPr>
          <w:rFonts w:ascii="Segoe UI" w:hAnsi="Segoe UI"/>
          <w:sz w:val="21"/>
        </w:rPr>
        <w:t>Une alerte s'ouvre quand la situation se dégrade — vert vers orange, orange vers rouge — et non quand elle est simplement mauvaise.</w:t>
      </w:r>
    </w:p>
    <w:p>
      <w:pPr>
        <w:pStyle w:val="ListBullet"/>
        <w:spacing w:after="80"/>
      </w:pPr>
      <w:r>
        <w:rPr>
          <w:rFonts w:ascii="Segoe UI" w:hAnsi="Segoe UI"/>
          <w:sz w:val="21"/>
        </w:rPr>
        <w:t>Le tout premier passage ne signale rien : il prend un repère. Sans cela, la mise en service aurait envoyé d'un coup la liste entière des apprenants déjà à risque, ce qui n'apprend rien à personne.</w:t>
      </w:r>
    </w:p>
    <w:p>
      <w:pPr>
        <w:pStyle w:val="ListBullet"/>
        <w:spacing w:after="80"/>
      </w:pPr>
      <w:r>
        <w:rPr>
          <w:rFonts w:ascii="Segoe UI" w:hAnsi="Segoe UI"/>
          <w:sz w:val="21"/>
        </w:rPr>
        <w:t>Une seule alerte ouverte par apprenant, garantie par un index en base et pas seulement par le code. Un apprenant rouge depuis trois semaines n'en génère pas vingt-et-une.</w:t>
      </w:r>
    </w:p>
    <w:p>
      <w:pPr>
        <w:pStyle w:val="ListBullet"/>
        <w:spacing w:after="80"/>
      </w:pPr>
      <w:r>
        <w:rPr>
          <w:rFonts w:ascii="Segoe UI" w:hAnsi="Segoe UI"/>
          <w:sz w:val="21"/>
        </w:rPr>
        <w:t>L'alerte se ferme d'elle-même dès que le mentor enregistre une intervention, ou quand l'apprenant repasse au vert.</w:t>
      </w:r>
    </w:p>
    <w:p>
      <w:pPr>
        <w:pStyle w:val="ListBullet"/>
        <w:spacing w:after="80"/>
      </w:pPr>
      <w:r>
        <w:rPr>
          <w:rFonts w:ascii="Segoe UI" w:hAnsi="Segoe UI"/>
          <w:sz w:val="21"/>
        </w:rPr>
        <w:t>Silence complet pendant une situation temporaire déclarée : le mentor sait déjà. La dégradation n'est pas perdue pour autant — l'alerte part à la clôture de la situation.</w:t>
      </w:r>
    </w:p>
    <w:p>
      <w:pPr>
        <w:pStyle w:val="ListBullet"/>
        <w:spacing w:after="80"/>
      </w:pPr>
      <w:r>
        <w:rPr>
          <w:rFonts w:ascii="Segoe UI" w:hAnsi="Segoe UI"/>
          <w:sz w:val="21"/>
        </w:rPr>
        <w:t>Un seul mail par mentor et par passage, jamais un mail par alerte. Et jamais de mail « rien à signaler ».</w:t>
      </w:r>
    </w:p>
    <w:p>
      <w:pPr>
        <w:spacing w:before="120" w:after="140"/>
      </w:pPr>
      <w:r>
        <w:rPr>
          <w:rFonts w:ascii="Segoe UI" w:hAnsi="Segoe UI"/>
          <w:b w:val="0"/>
          <w:i w:val="0"/>
          <w:color w:val="14181F"/>
          <w:sz w:val="21"/>
        </w:rPr>
        <w:t>Le mail contient, pour chaque apprenant concerné, son nom, sa cohorte et la raison du signalement. Le mentor n'a rien ouvert, rien cliqué : l'information vient à lui.</w:t>
      </w:r>
    </w:p>
    <w:p>
      <w:r>
        <w:br w:type="page"/>
      </w:r>
    </w:p>
    <w:p>
      <w:pPr>
        <w:spacing w:before="0" w:after="80"/>
      </w:pPr>
      <w:r>
        <w:rPr>
          <w:rFonts w:ascii="Segoe UI" w:hAnsi="Segoe UI"/>
          <w:b/>
          <w:i w:val="0"/>
          <w:color w:val="14181F"/>
          <w:sz w:val="38"/>
        </w:rPr>
        <w:t>6.  L'architecture technique</w:t>
      </w:r>
    </w:p>
    <w:p>
      <w:pPr>
        <w:spacing w:after="240"/>
      </w:pPr>
      <w:r>
        <w:rPr>
          <w:color w:val="D95A0E"/>
          <w:sz w:val="20"/>
        </w:rPr>
        <w:t>————————————————————————————</w:t>
      </w:r>
    </w:p>
    <w:p>
      <w:pPr>
        <w:spacing w:before="0" w:after="140"/>
      </w:pPr>
      <w:r>
        <w:rPr>
          <w:rFonts w:ascii="Segoe UI" w:hAnsi="Segoe UI"/>
          <w:b w:val="0"/>
          <w:i w:val="0"/>
          <w:color w:val="14181F"/>
          <w:sz w:val="21"/>
        </w:rPr>
        <w:t>Le choix directeur a été la sobriété : des outils standards, que n'importe quel développeur de Xarala peut reprendre sans formation particulière.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rFonts w:ascii="Segoe UI" w:hAnsi="Segoe UI"/>
                <w:b/>
                <w:sz w:val="20"/>
              </w:rPr>
              <w:t>Couche</w:t>
            </w:r>
          </w:p>
        </w:tc>
        <w:tc>
          <w:tcPr>
            <w:tcW w:type="dxa" w:w="3173"/>
          </w:tcPr>
          <w:p>
            <w:r/>
            <w:r>
              <w:rPr>
                <w:rFonts w:ascii="Segoe UI" w:hAnsi="Segoe UI"/>
                <w:b/>
                <w:sz w:val="20"/>
              </w:rPr>
              <w:t>Technologie</w:t>
            </w:r>
          </w:p>
        </w:tc>
        <w:tc>
          <w:tcPr>
            <w:tcW w:type="dxa" w:w="3173"/>
          </w:tcPr>
          <w:p>
            <w:r/>
            <w:r>
              <w:rPr>
                <w:rFonts w:ascii="Segoe UI" w:hAnsi="Segoe UI"/>
                <w:b/>
                <w:sz w:val="20"/>
              </w:rPr>
              <w:t>Rôle</w:t>
            </w:r>
          </w:p>
        </w:tc>
      </w:tr>
      <w:tr>
        <w:tc>
          <w:tcPr>
            <w:tcW w:type="dxa" w:w="3173"/>
          </w:tcPr>
          <w:p>
            <w:r/>
            <w:r>
              <w:rPr>
                <w:rFonts w:ascii="Segoe UI" w:hAnsi="Segoe UI"/>
                <w:sz w:val="20"/>
              </w:rPr>
              <w:t>Moteur / API</w:t>
            </w:r>
          </w:p>
        </w:tc>
        <w:tc>
          <w:tcPr>
            <w:tcW w:type="dxa" w:w="3173"/>
          </w:tcPr>
          <w:p>
            <w:r/>
            <w:r>
              <w:rPr>
                <w:rFonts w:ascii="Segoe UI" w:hAnsi="Segoe UI"/>
                <w:sz w:val="20"/>
              </w:rPr>
              <w:t>Python, FastAPI, Pydantic</w:t>
            </w:r>
          </w:p>
        </w:tc>
        <w:tc>
          <w:tcPr>
            <w:tcW w:type="dxa" w:w="3173"/>
          </w:tcPr>
          <w:p>
            <w:r/>
            <w:r>
              <w:rPr>
                <w:rFonts w:ascii="Segoe UI" w:hAnsi="Segoe UI"/>
                <w:sz w:val="20"/>
              </w:rPr>
              <w:t>Calcul du risque, règles métier, 19 routes documentées</w:t>
            </w:r>
          </w:p>
        </w:tc>
      </w:tr>
      <w:tr>
        <w:tc>
          <w:tcPr>
            <w:tcW w:type="dxa" w:w="3173"/>
          </w:tcPr>
          <w:p>
            <w:r/>
            <w:r>
              <w:rPr>
                <w:rFonts w:ascii="Segoe UI" w:hAnsi="Segoe UI"/>
                <w:sz w:val="20"/>
              </w:rPr>
              <w:t>Interface</w:t>
            </w:r>
          </w:p>
        </w:tc>
        <w:tc>
          <w:tcPr>
            <w:tcW w:type="dxa" w:w="3173"/>
          </w:tcPr>
          <w:p>
            <w:r/>
            <w:r>
              <w:rPr>
                <w:rFonts w:ascii="Segoe UI" w:hAnsi="Segoe UI"/>
                <w:sz w:val="20"/>
              </w:rPr>
              <w:t>React, React Router, Vite</w:t>
            </w:r>
          </w:p>
        </w:tc>
        <w:tc>
          <w:tcPr>
            <w:tcW w:type="dxa" w:w="3173"/>
          </w:tcPr>
          <w:p>
            <w:r/>
            <w:r>
              <w:rPr>
                <w:rFonts w:ascii="Segoe UI" w:hAnsi="Segoe UI"/>
                <w:sz w:val="20"/>
              </w:rPr>
              <w:t>Le parcours complet du mentor</w:t>
            </w:r>
          </w:p>
        </w:tc>
      </w:tr>
      <w:tr>
        <w:tc>
          <w:tcPr>
            <w:tcW w:type="dxa" w:w="3173"/>
          </w:tcPr>
          <w:p>
            <w:r/>
            <w:r>
              <w:rPr>
                <w:rFonts w:ascii="Segoe UI" w:hAnsi="Segoe UI"/>
                <w:sz w:val="20"/>
              </w:rPr>
              <w:t>Données</w:t>
            </w:r>
          </w:p>
        </w:tc>
        <w:tc>
          <w:tcPr>
            <w:tcW w:type="dxa" w:w="3173"/>
          </w:tcPr>
          <w:p>
            <w:r/>
            <w:r>
              <w:rPr>
                <w:rFonts w:ascii="Segoe UI" w:hAnsi="Segoe UI"/>
                <w:sz w:val="20"/>
              </w:rPr>
              <w:t>PostgreSQL (psycopg)</w:t>
            </w:r>
          </w:p>
        </w:tc>
        <w:tc>
          <w:tcPr>
            <w:tcW w:type="dxa" w:w="3173"/>
          </w:tcPr>
          <w:p>
            <w:r/>
            <w:r>
              <w:rPr>
                <w:rFonts w:ascii="Segoe UI" w:hAnsi="Segoe UI"/>
                <w:sz w:val="20"/>
              </w:rPr>
              <w:t>Apprenants, interventions, alertes, mentors</w:t>
            </w:r>
          </w:p>
        </w:tc>
      </w:tr>
      <w:tr>
        <w:tc>
          <w:tcPr>
            <w:tcW w:type="dxa" w:w="3173"/>
          </w:tcPr>
          <w:p>
            <w:r/>
            <w:r>
              <w:rPr>
                <w:rFonts w:ascii="Segoe UI" w:hAnsi="Segoe UI"/>
                <w:sz w:val="20"/>
              </w:rPr>
              <w:t>Authentification</w:t>
            </w:r>
          </w:p>
        </w:tc>
        <w:tc>
          <w:tcPr>
            <w:tcW w:type="dxa" w:w="3173"/>
          </w:tcPr>
          <w:p>
            <w:r/>
            <w:r>
              <w:rPr>
                <w:rFonts w:ascii="Segoe UI" w:hAnsi="Segoe UI"/>
                <w:sz w:val="20"/>
              </w:rPr>
              <w:t>JWT, bcrypt</w:t>
            </w:r>
          </w:p>
        </w:tc>
        <w:tc>
          <w:tcPr>
            <w:tcW w:type="dxa" w:w="3173"/>
          </w:tcPr>
          <w:p>
            <w:r/>
            <w:r>
              <w:rPr>
                <w:rFonts w:ascii="Segoe UI" w:hAnsi="Segoe UI"/>
                <w:sz w:val="20"/>
              </w:rPr>
              <w:t>Session mentor de 12 h, mots de passe hachés</w:t>
            </w:r>
          </w:p>
        </w:tc>
      </w:tr>
      <w:tr>
        <w:tc>
          <w:tcPr>
            <w:tcW w:type="dxa" w:w="3173"/>
          </w:tcPr>
          <w:p>
            <w:r/>
            <w:r>
              <w:rPr>
                <w:rFonts w:ascii="Segoe UI" w:hAnsi="Segoe UI"/>
                <w:sz w:val="20"/>
              </w:rPr>
              <w:t>Hébergement</w:t>
            </w:r>
          </w:p>
        </w:tc>
        <w:tc>
          <w:tcPr>
            <w:tcW w:type="dxa" w:w="3173"/>
          </w:tcPr>
          <w:p>
            <w:r/>
            <w:r>
              <w:rPr>
                <w:rFonts w:ascii="Segoe UI" w:hAnsi="Segoe UI"/>
                <w:sz w:val="20"/>
              </w:rPr>
              <w:t>Render</w:t>
            </w:r>
          </w:p>
        </w:tc>
        <w:tc>
          <w:tcPr>
            <w:tcW w:type="dxa" w:w="3173"/>
          </w:tcPr>
          <w:p>
            <w:r/>
            <w:r>
              <w:rPr>
                <w:rFonts w:ascii="Segoe UI" w:hAnsi="Segoe UI"/>
                <w:sz w:val="20"/>
              </w:rPr>
              <w:t>Site statique, API, base de données</w:t>
            </w:r>
          </w:p>
        </w:tc>
      </w:tr>
      <w:tr>
        <w:tc>
          <w:tcPr>
            <w:tcW w:type="dxa" w:w="3173"/>
          </w:tcPr>
          <w:p>
            <w:r/>
            <w:r>
              <w:rPr>
                <w:rFonts w:ascii="Segoe UI" w:hAnsi="Segoe UI"/>
                <w:sz w:val="20"/>
              </w:rPr>
              <w:t>Notification</w:t>
            </w:r>
          </w:p>
        </w:tc>
        <w:tc>
          <w:tcPr>
            <w:tcW w:type="dxa" w:w="3173"/>
          </w:tcPr>
          <w:p>
            <w:r/>
            <w:r>
              <w:rPr>
                <w:rFonts w:ascii="Segoe UI" w:hAnsi="Segoe UI"/>
                <w:sz w:val="20"/>
              </w:rPr>
              <w:t>Make + Gmail</w:t>
            </w:r>
          </w:p>
        </w:tc>
        <w:tc>
          <w:tcPr>
            <w:tcW w:type="dxa" w:w="3173"/>
          </w:tcPr>
          <w:p>
            <w:r/>
            <w:r>
              <w:rPr>
                <w:rFonts w:ascii="Segoe UI" w:hAnsi="Segoe UI"/>
                <w:sz w:val="20"/>
              </w:rPr>
              <w:t>Le scan quotidien de 7 h et l'envoi du mail</w:t>
            </w:r>
          </w:p>
        </w:tc>
      </w:tr>
      <w:tr>
        <w:tc>
          <w:tcPr>
            <w:tcW w:type="dxa" w:w="3173"/>
          </w:tcPr>
          <w:p>
            <w:r/>
            <w:r>
              <w:rPr>
                <w:rFonts w:ascii="Segoe UI" w:hAnsi="Segoe UI"/>
                <w:sz w:val="20"/>
              </w:rPr>
              <w:t>Tests</w:t>
            </w:r>
          </w:p>
        </w:tc>
        <w:tc>
          <w:tcPr>
            <w:tcW w:type="dxa" w:w="3173"/>
          </w:tcPr>
          <w:p>
            <w:r/>
            <w:r>
              <w:rPr>
                <w:rFonts w:ascii="Segoe UI" w:hAnsi="Segoe UI"/>
                <w:sz w:val="20"/>
              </w:rPr>
              <w:t>pytest, Vitest, Testing Library</w:t>
            </w:r>
          </w:p>
        </w:tc>
        <w:tc>
          <w:tcPr>
            <w:tcW w:type="dxa" w:w="3173"/>
          </w:tcPr>
          <w:p>
            <w:r/>
            <w:r>
              <w:rPr>
                <w:rFonts w:ascii="Segoe UI" w:hAnsi="Segoe UI"/>
                <w:sz w:val="20"/>
              </w:rPr>
              <w:t>386 tests automatisés</w:t>
            </w:r>
          </w:p>
        </w:tc>
      </w:tr>
      <w:tr>
        <w:tc>
          <w:tcPr>
            <w:tcW w:type="dxa" w:w="3173"/>
          </w:tcPr>
          <w:p>
            <w:r/>
            <w:r>
              <w:rPr>
                <w:rFonts w:ascii="Segoe UI" w:hAnsi="Segoe UI"/>
                <w:sz w:val="20"/>
              </w:rPr>
              <w:t>Travail d'équipe</w:t>
            </w:r>
          </w:p>
        </w:tc>
        <w:tc>
          <w:tcPr>
            <w:tcW w:type="dxa" w:w="3173"/>
          </w:tcPr>
          <w:p>
            <w:r/>
            <w:r>
              <w:rPr>
                <w:rFonts w:ascii="Segoe UI" w:hAnsi="Segoe UI"/>
                <w:sz w:val="20"/>
              </w:rPr>
              <w:t>GitLab</w:t>
            </w:r>
          </w:p>
        </w:tc>
        <w:tc>
          <w:tcPr>
            <w:tcW w:type="dxa" w:w="3173"/>
          </w:tcPr>
          <w:p>
            <w:r/>
            <w:r>
              <w:rPr>
                <w:rFonts w:ascii="Segoe UI" w:hAnsi="Segoe UI"/>
                <w:sz w:val="20"/>
              </w:rPr>
              <w:t>Une branche par tâche, relecture avant fusion</w:t>
            </w:r>
          </w:p>
        </w:tc>
      </w:tr>
    </w:tbl>
    <w:p>
      <w:pPr>
        <w:spacing w:after="120"/>
      </w:pPr>
    </w:p>
    <w:p>
      <w:pPr>
        <w:spacing w:before="280" w:after="100"/>
      </w:pPr>
      <w:r>
        <w:rPr>
          <w:rFonts w:ascii="Segoe UI" w:hAnsi="Segoe UI"/>
          <w:b/>
          <w:i w:val="0"/>
          <w:color w:val="D95A0E"/>
          <w:sz w:val="26"/>
        </w:rPr>
        <w:t>Un principe : la source de données est remplaçable</w:t>
      </w:r>
    </w:p>
    <w:p>
      <w:pPr>
        <w:spacing w:before="0" w:after="140"/>
      </w:pPr>
      <w:r>
        <w:rPr>
          <w:rFonts w:ascii="Segoe UI" w:hAnsi="Segoe UI"/>
          <w:b w:val="0"/>
          <w:i w:val="0"/>
          <w:color w:val="14181F"/>
          <w:sz w:val="21"/>
        </w:rPr>
        <w:t>La lecture des données est isolée dans une seule couche. Deux implémentations coexistent et exposent exactement les mêmes méthodes : l'une lit des fichiers CSV, l'autre PostgreSQL. Ni le calcul du risque, ni l'API, ni l'interface ne savent laquelle est active. Le jour où la vraie plateforme de Xarala sera accessible, c'est cette couche seule qui changera.</w:t>
      </w:r>
    </w:p>
    <w:p>
      <w:pPr>
        <w:spacing w:before="0" w:after="140"/>
      </w:pPr>
      <w:r>
        <w:rPr>
          <w:rFonts w:ascii="Segoe UI" w:hAnsi="Segoe UI"/>
          <w:b w:val="0"/>
          <w:i w:val="0"/>
          <w:color w:val="14181F"/>
          <w:sz w:val="21"/>
        </w:rPr>
        <w:t>Conséquence pratique : sans base configurée, l'application continue de fonctionner sur les fichiers. C'est ce repli qui garantit qu'une démonstration ne dépend pas de la disponibilité d'une base gratuite.</w:t>
      </w:r>
    </w:p>
    <w:p>
      <w:pPr>
        <w:spacing w:before="280" w:after="100"/>
      </w:pPr>
      <w:r>
        <w:rPr>
          <w:rFonts w:ascii="Segoe UI" w:hAnsi="Segoe UI"/>
          <w:b/>
          <w:i w:val="0"/>
          <w:color w:val="D95A0E"/>
          <w:sz w:val="26"/>
        </w:rPr>
        <w:t>L'API</w:t>
      </w:r>
    </w:p>
    <w:p>
      <w:pPr>
        <w:spacing w:before="0" w:after="140"/>
      </w:pPr>
      <w:r>
        <w:rPr>
          <w:rFonts w:ascii="Segoe UI" w:hAnsi="Segoe UI"/>
          <w:b w:val="0"/>
          <w:i w:val="0"/>
          <w:color w:val="14181F"/>
          <w:sz w:val="21"/>
        </w:rPr>
        <w:t>Dix-neuf routes, documentées et testables en ligne via Swagger. Toutes les routes de données exigent un jeton obtenu par mot de passe : sans lui, l'API répond 401.</w:t>
      </w:r>
    </w:p>
    <w:p>
      <w:pPr>
        <w:spacing w:before="160" w:after="60"/>
        <w:jc w:val="center"/>
      </w:pPr>
      <w:r>
        <w:drawing>
          <wp:inline xmlns:a="http://schemas.openxmlformats.org/drawingml/2006/main" xmlns:pic="http://schemas.openxmlformats.org/drawingml/2006/picture">
            <wp:extent cx="5760000" cy="2291321"/>
            <wp:docPr id="9" name="Picture 9"/>
            <wp:cNvGraphicFramePr>
              <a:graphicFrameLocks noChangeAspect="1"/>
            </wp:cNvGraphicFramePr>
            <a:graphic>
              <a:graphicData uri="http://schemas.openxmlformats.org/drawingml/2006/picture">
                <pic:pic>
                  <pic:nvPicPr>
                    <pic:cNvPr id="0" name="screenshot-1789166036805-14.jpg"/>
                    <pic:cNvPicPr/>
                  </pic:nvPicPr>
                  <pic:blipFill>
                    <a:blip r:embed="rId17"/>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9 — La documentation de l'API, publiée en ligne</w:t>
      </w:r>
    </w:p>
    <w:p>
      <w:pPr>
        <w:spacing w:before="160" w:after="60"/>
        <w:jc w:val="center"/>
      </w:pPr>
      <w:r>
        <w:drawing>
          <wp:inline xmlns:a="http://schemas.openxmlformats.org/drawingml/2006/main" xmlns:pic="http://schemas.openxmlformats.org/drawingml/2006/picture">
            <wp:extent cx="5760000" cy="2291321"/>
            <wp:docPr id="10" name="Picture 10"/>
            <wp:cNvGraphicFramePr>
              <a:graphicFrameLocks noChangeAspect="1"/>
            </wp:cNvGraphicFramePr>
            <a:graphic>
              <a:graphicData uri="http://schemas.openxmlformats.org/drawingml/2006/picture">
                <pic:pic>
                  <pic:nvPicPr>
                    <pic:cNvPr id="0" name="screenshot-1789166036806-15.jpg"/>
                    <pic:cNvPicPr/>
                  </pic:nvPicPr>
                  <pic:blipFill>
                    <a:blip r:embed="rId18"/>
                    <a:stretch>
                      <a:fillRect/>
                    </a:stretch>
                  </pic:blipFill>
                  <pic:spPr>
                    <a:xfrm>
                      <a:off x="0" y="0"/>
                      <a:ext cx="5760000" cy="2291321"/>
                    </a:xfrm>
                    <a:prstGeom prst="rect"/>
                  </pic:spPr>
                </pic:pic>
              </a:graphicData>
            </a:graphic>
          </wp:inline>
        </w:drawing>
      </w:r>
    </w:p>
    <w:p>
      <w:pPr>
        <w:spacing w:before="0" w:after="240"/>
        <w:jc w:val="center"/>
      </w:pPr>
      <w:r>
        <w:rPr>
          <w:rFonts w:ascii="Segoe UI" w:hAnsi="Segoe UI"/>
          <w:b w:val="0"/>
          <w:i/>
          <w:color w:val="5A626E"/>
          <w:sz w:val="18"/>
        </w:rPr>
        <w:t>Figure 10 — Les routes de consultation des apprenants et des cohortes</w:t>
      </w:r>
    </w:p>
    <w:p>
      <w:pPr>
        <w:spacing w:before="280" w:after="100"/>
      </w:pPr>
      <w:r>
        <w:rPr>
          <w:rFonts w:ascii="Segoe UI" w:hAnsi="Segoe UI"/>
          <w:b/>
          <w:i w:val="0"/>
          <w:color w:val="D95A0E"/>
          <w:sz w:val="26"/>
        </w:rPr>
        <w:t>Le cloisonnement des données</w:t>
      </w:r>
    </w:p>
    <w:p>
      <w:pPr>
        <w:spacing w:before="0" w:after="140"/>
      </w:pPr>
      <w:r>
        <w:rPr>
          <w:rFonts w:ascii="Segoe UI" w:hAnsi="Segoe UI"/>
          <w:b w:val="0"/>
          <w:i w:val="0"/>
          <w:color w:val="14181F"/>
          <w:sz w:val="21"/>
        </w:rPr>
        <w:t>La restriction par cohorte est appliquée côté serveur, et elle porte sur la fiche autant que sur la liste : connaître l'identifiant d'un apprenant ne suffit pas à ouvrir son dossier. L'auteur d'une intervention est déduit du jeton, jamais d'un paramètre envoyé par le navigateur.</w:t>
      </w:r>
    </w:p>
    <w:p>
      <w:r>
        <w:br w:type="page"/>
      </w:r>
    </w:p>
    <w:p>
      <w:pPr>
        <w:spacing w:before="0" w:after="80"/>
      </w:pPr>
      <w:r>
        <w:rPr>
          <w:rFonts w:ascii="Segoe UI" w:hAnsi="Segoe UI"/>
          <w:b/>
          <w:i w:val="0"/>
          <w:color w:val="14181F"/>
          <w:sz w:val="38"/>
        </w:rPr>
        <w:t>7.  Le modèle de données</w:t>
      </w:r>
    </w:p>
    <w:p>
      <w:pPr>
        <w:spacing w:after="240"/>
      </w:pPr>
      <w:r>
        <w:rPr>
          <w:color w:val="D95A0E"/>
          <w:sz w:val="20"/>
        </w:rPr>
        <w:t>————————————————————————————</w:t>
      </w:r>
    </w:p>
    <w:p>
      <w:pPr>
        <w:spacing w:before="0" w:after="140"/>
      </w:pPr>
      <w:r>
        <w:rPr>
          <w:rFonts w:ascii="Segoe UI" w:hAnsi="Segoe UI"/>
          <w:b w:val="0"/>
          <w:i w:val="0"/>
          <w:color w:val="14181F"/>
          <w:sz w:val="21"/>
        </w:rPr>
        <w:t>Le schéma compte dix-sept tables. Il a été repris après les retours de notre mentor technique : la table d'activité quotidienne agrégée a disparu, la connexion est portée par l'utilisateur et la présence par la séance, ce qui évite de dupliquer une information déjà disponible.</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rFonts w:ascii="Segoe UI" w:hAnsi="Segoe UI"/>
                <w:b/>
                <w:sz w:val="20"/>
              </w:rPr>
              <w:t>Domaine</w:t>
            </w:r>
          </w:p>
        </w:tc>
        <w:tc>
          <w:tcPr>
            <w:tcW w:type="dxa" w:w="3173"/>
          </w:tcPr>
          <w:p>
            <w:r/>
            <w:r>
              <w:rPr>
                <w:rFonts w:ascii="Segoe UI" w:hAnsi="Segoe UI"/>
                <w:b/>
                <w:sz w:val="20"/>
              </w:rPr>
              <w:t>Tables</w:t>
            </w:r>
          </w:p>
        </w:tc>
        <w:tc>
          <w:tcPr>
            <w:tcW w:type="dxa" w:w="3173"/>
          </w:tcPr>
          <w:p>
            <w:r/>
            <w:r>
              <w:rPr>
                <w:rFonts w:ascii="Segoe UI" w:hAnsi="Segoe UI"/>
                <w:b/>
                <w:sz w:val="20"/>
              </w:rPr>
              <w:t>Ce qu'elles portent</w:t>
            </w:r>
          </w:p>
        </w:tc>
      </w:tr>
      <w:tr>
        <w:tc>
          <w:tcPr>
            <w:tcW w:type="dxa" w:w="3173"/>
          </w:tcPr>
          <w:p>
            <w:r/>
            <w:r>
              <w:rPr>
                <w:rFonts w:ascii="Segoe UI" w:hAnsi="Segoe UI"/>
                <w:sz w:val="20"/>
              </w:rPr>
              <w:t>Personnes</w:t>
            </w:r>
          </w:p>
        </w:tc>
        <w:tc>
          <w:tcPr>
            <w:tcW w:type="dxa" w:w="3173"/>
          </w:tcPr>
          <w:p>
            <w:r/>
            <w:r>
              <w:rPr>
                <w:rFonts w:ascii="Segoe UI" w:hAnsi="Segoe UI"/>
                <w:sz w:val="20"/>
              </w:rPr>
              <w:t>utilisateur, mentor, apprenant, connexion</w:t>
            </w:r>
          </w:p>
        </w:tc>
        <w:tc>
          <w:tcPr>
            <w:tcW w:type="dxa" w:w="3173"/>
          </w:tcPr>
          <w:p>
            <w:r/>
            <w:r>
              <w:rPr>
                <w:rFonts w:ascii="Segoe UI" w:hAnsi="Segoe UI"/>
                <w:sz w:val="20"/>
              </w:rPr>
              <w:t>identité, mot de passe haché, e-mail, journal des connexions</w:t>
            </w:r>
          </w:p>
        </w:tc>
      </w:tr>
      <w:tr>
        <w:tc>
          <w:tcPr>
            <w:tcW w:type="dxa" w:w="3173"/>
          </w:tcPr>
          <w:p>
            <w:r/>
            <w:r>
              <w:rPr>
                <w:rFonts w:ascii="Segoe UI" w:hAnsi="Segoe UI"/>
                <w:sz w:val="20"/>
              </w:rPr>
              <w:t>Organisation</w:t>
            </w:r>
          </w:p>
        </w:tc>
        <w:tc>
          <w:tcPr>
            <w:tcW w:type="dxa" w:w="3173"/>
          </w:tcPr>
          <w:p>
            <w:r/>
            <w:r>
              <w:rPr>
                <w:rFonts w:ascii="Segoe UI" w:hAnsi="Segoe UI"/>
                <w:sz w:val="20"/>
              </w:rPr>
              <w:t>cohorte, inscription, mentor_cohorte</w:t>
            </w:r>
          </w:p>
        </w:tc>
        <w:tc>
          <w:tcPr>
            <w:tcW w:type="dxa" w:w="3173"/>
          </w:tcPr>
          <w:p>
            <w:r/>
            <w:r>
              <w:rPr>
                <w:rFonts w:ascii="Segoe UI" w:hAnsi="Segoe UI"/>
                <w:sz w:val="20"/>
              </w:rPr>
              <w:t>qui appartient à quelle cohorte, qui l'encadre</w:t>
            </w:r>
          </w:p>
        </w:tc>
      </w:tr>
      <w:tr>
        <w:tc>
          <w:tcPr>
            <w:tcW w:type="dxa" w:w="3173"/>
          </w:tcPr>
          <w:p>
            <w:r/>
            <w:r>
              <w:rPr>
                <w:rFonts w:ascii="Segoe UI" w:hAnsi="Segoe UI"/>
                <w:sz w:val="20"/>
              </w:rPr>
              <w:t>Activité</w:t>
            </w:r>
          </w:p>
        </w:tc>
        <w:tc>
          <w:tcPr>
            <w:tcW w:type="dxa" w:w="3173"/>
          </w:tcPr>
          <w:p>
            <w:r/>
            <w:r>
              <w:rPr>
                <w:rFonts w:ascii="Segoe UI" w:hAnsi="Segoe UI"/>
                <w:sz w:val="20"/>
              </w:rPr>
              <w:t>seance, presence, module, module_termine, projet, livrable</w:t>
            </w:r>
          </w:p>
        </w:tc>
        <w:tc>
          <w:tcPr>
            <w:tcW w:type="dxa" w:w="3173"/>
          </w:tcPr>
          <w:p>
            <w:r/>
            <w:r>
              <w:rPr>
                <w:rFonts w:ascii="Segoe UI" w:hAnsi="Segoe UI"/>
                <w:sz w:val="20"/>
              </w:rPr>
              <w:t>présence, progression, travaux rendus</w:t>
            </w:r>
          </w:p>
        </w:tc>
      </w:tr>
      <w:tr>
        <w:tc>
          <w:tcPr>
            <w:tcW w:type="dxa" w:w="3173"/>
          </w:tcPr>
          <w:p>
            <w:r/>
            <w:r>
              <w:rPr>
                <w:rFonts w:ascii="Segoe UI" w:hAnsi="Segoe UI"/>
                <w:sz w:val="20"/>
              </w:rPr>
              <w:t>Suivi mentor</w:t>
            </w:r>
          </w:p>
        </w:tc>
        <w:tc>
          <w:tcPr>
            <w:tcW w:type="dxa" w:w="3173"/>
          </w:tcPr>
          <w:p>
            <w:r/>
            <w:r>
              <w:rPr>
                <w:rFonts w:ascii="Segoe UI" w:hAnsi="Segoe UI"/>
                <w:sz w:val="20"/>
              </w:rPr>
              <w:t>intervention, situation_temporaire</w:t>
            </w:r>
          </w:p>
        </w:tc>
        <w:tc>
          <w:tcPr>
            <w:tcW w:type="dxa" w:w="3173"/>
          </w:tcPr>
          <w:p>
            <w:r/>
            <w:r>
              <w:rPr>
                <w:rFonts w:ascii="Segoe UI" w:hAnsi="Segoe UI"/>
                <w:sz w:val="20"/>
              </w:rPr>
              <w:t>actions menées, causes, contextes déclarés</w:t>
            </w:r>
          </w:p>
        </w:tc>
      </w:tr>
      <w:tr>
        <w:tc>
          <w:tcPr>
            <w:tcW w:type="dxa" w:w="3173"/>
          </w:tcPr>
          <w:p>
            <w:r/>
            <w:r>
              <w:rPr>
                <w:rFonts w:ascii="Segoe UI" w:hAnsi="Segoe UI"/>
                <w:sz w:val="20"/>
              </w:rPr>
              <w:t>Alertes</w:t>
            </w:r>
          </w:p>
        </w:tc>
        <w:tc>
          <w:tcPr>
            <w:tcW w:type="dxa" w:w="3173"/>
          </w:tcPr>
          <w:p>
            <w:r/>
            <w:r>
              <w:rPr>
                <w:rFonts w:ascii="Segoe UI" w:hAnsi="Segoe UI"/>
                <w:sz w:val="20"/>
              </w:rPr>
              <w:t>score_observe, alerte</w:t>
            </w:r>
          </w:p>
        </w:tc>
        <w:tc>
          <w:tcPr>
            <w:tcW w:type="dxa" w:w="3173"/>
          </w:tcPr>
          <w:p>
            <w:r/>
            <w:r>
              <w:rPr>
                <w:rFonts w:ascii="Segoe UI" w:hAnsi="Segoe UI"/>
                <w:sz w:val="20"/>
              </w:rPr>
              <w:t>dernier score connu et signalements ouverts</w:t>
            </w:r>
          </w:p>
        </w:tc>
      </w:tr>
    </w:tbl>
    <w:p>
      <w:pPr>
        <w:spacing w:after="120"/>
      </w:pPr>
    </w:p>
    <w:p>
      <w:pPr>
        <w:spacing w:before="120" w:after="140"/>
      </w:pPr>
      <w:r>
        <w:rPr>
          <w:rFonts w:ascii="Segoe UI" w:hAnsi="Segoe UI"/>
          <w:b w:val="0"/>
          <w:i w:val="0"/>
          <w:color w:val="14181F"/>
          <w:sz w:val="21"/>
        </w:rPr>
        <w:t>Un choix assumé : le niveau de risque n'apparaît dans aucune table. Il est recalculé à la lecture, à partir des faits.</w:t>
      </w:r>
    </w:p>
    <w:p>
      <w:r>
        <w:br w:type="page"/>
      </w:r>
    </w:p>
    <w:p>
      <w:pPr>
        <w:spacing w:before="0" w:after="80"/>
      </w:pPr>
      <w:r>
        <w:rPr>
          <w:rFonts w:ascii="Segoe UI" w:hAnsi="Segoe UI"/>
          <w:b/>
          <w:i w:val="0"/>
          <w:color w:val="14181F"/>
          <w:sz w:val="38"/>
        </w:rPr>
        <w:t>8.  Tests, documentation et déploiement</w:t>
      </w:r>
    </w:p>
    <w:p>
      <w:pPr>
        <w:spacing w:after="240"/>
      </w:pPr>
      <w:r>
        <w:rPr>
          <w:color w:val="D95A0E"/>
          <w:sz w:val="20"/>
        </w:rPr>
        <w:t>————————————————————————————</w:t>
      </w:r>
    </w:p>
    <w:p>
      <w:pPr>
        <w:spacing w:before="280" w:after="100"/>
      </w:pPr>
      <w:r>
        <w:rPr>
          <w:rFonts w:ascii="Segoe UI" w:hAnsi="Segoe UI"/>
          <w:b/>
          <w:i w:val="0"/>
          <w:color w:val="D95A0E"/>
          <w:sz w:val="26"/>
        </w:rPr>
        <w:t>Les tests</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rFonts w:ascii="Segoe UI" w:hAnsi="Segoe UI"/>
                <w:b/>
                <w:sz w:val="20"/>
              </w:rPr>
              <w:t>Portée</w:t>
            </w:r>
          </w:p>
        </w:tc>
        <w:tc>
          <w:tcPr>
            <w:tcW w:type="dxa" w:w="3173"/>
          </w:tcPr>
          <w:p>
            <w:r/>
            <w:r>
              <w:rPr>
                <w:rFonts w:ascii="Segoe UI" w:hAnsi="Segoe UI"/>
                <w:b/>
                <w:sz w:val="20"/>
              </w:rPr>
              <w:t>Nombre</w:t>
            </w:r>
          </w:p>
        </w:tc>
        <w:tc>
          <w:tcPr>
            <w:tcW w:type="dxa" w:w="3173"/>
          </w:tcPr>
          <w:p>
            <w:r/>
            <w:r>
              <w:rPr>
                <w:rFonts w:ascii="Segoe UI" w:hAnsi="Segoe UI"/>
                <w:b/>
                <w:sz w:val="20"/>
              </w:rPr>
              <w:t>Ce qui est couvert</w:t>
            </w:r>
          </w:p>
        </w:tc>
      </w:tr>
      <w:tr>
        <w:tc>
          <w:tcPr>
            <w:tcW w:type="dxa" w:w="3173"/>
          </w:tcPr>
          <w:p>
            <w:r/>
            <w:r>
              <w:rPr>
                <w:rFonts w:ascii="Segoe UI" w:hAnsi="Segoe UI"/>
                <w:sz w:val="20"/>
              </w:rPr>
              <w:t>Backend</w:t>
            </w:r>
          </w:p>
        </w:tc>
        <w:tc>
          <w:tcPr>
            <w:tcW w:type="dxa" w:w="3173"/>
          </w:tcPr>
          <w:p>
            <w:r/>
            <w:r>
              <w:rPr>
                <w:rFonts w:ascii="Segoe UI" w:hAnsi="Segoe UI"/>
                <w:sz w:val="20"/>
              </w:rPr>
              <w:t>280</w:t>
            </w:r>
          </w:p>
        </w:tc>
        <w:tc>
          <w:tcPr>
            <w:tcW w:type="dxa" w:w="3173"/>
          </w:tcPr>
          <w:p>
            <w:r/>
            <w:r>
              <w:rPr>
                <w:rFonts w:ascii="Segoe UI" w:hAnsi="Segoe UI"/>
                <w:sz w:val="20"/>
              </w:rPr>
              <w:t>règles de scoring aux seuils, API, autorisations, alertes</w:t>
            </w:r>
          </w:p>
        </w:tc>
      </w:tr>
      <w:tr>
        <w:tc>
          <w:tcPr>
            <w:tcW w:type="dxa" w:w="3173"/>
          </w:tcPr>
          <w:p>
            <w:r/>
            <w:r>
              <w:rPr>
                <w:rFonts w:ascii="Segoe UI" w:hAnsi="Segoe UI"/>
                <w:sz w:val="20"/>
              </w:rPr>
              <w:t>Frontend</w:t>
            </w:r>
          </w:p>
        </w:tc>
        <w:tc>
          <w:tcPr>
            <w:tcW w:type="dxa" w:w="3173"/>
          </w:tcPr>
          <w:p>
            <w:r/>
            <w:r>
              <w:rPr>
                <w:rFonts w:ascii="Segoe UI" w:hAnsi="Segoe UI"/>
                <w:sz w:val="20"/>
              </w:rPr>
              <w:t>106</w:t>
            </w:r>
          </w:p>
        </w:tc>
        <w:tc>
          <w:tcPr>
            <w:tcW w:type="dxa" w:w="3173"/>
          </w:tcPr>
          <w:p>
            <w:r/>
            <w:r>
              <w:rPr>
                <w:rFonts w:ascii="Segoe UI" w:hAnsi="Segoe UI"/>
                <w:sz w:val="20"/>
              </w:rPr>
              <w:t>composants, états de chargement, cas sans données</w:t>
            </w:r>
          </w:p>
        </w:tc>
      </w:tr>
      <w:tr>
        <w:tc>
          <w:tcPr>
            <w:tcW w:type="dxa" w:w="3173"/>
          </w:tcPr>
          <w:p>
            <w:r/>
            <w:r>
              <w:rPr>
                <w:rFonts w:ascii="Segoe UI" w:hAnsi="Segoe UI"/>
                <w:sz w:val="20"/>
              </w:rPr>
              <w:t>Base réelle</w:t>
            </w:r>
          </w:p>
        </w:tc>
        <w:tc>
          <w:tcPr>
            <w:tcW w:type="dxa" w:w="3173"/>
          </w:tcPr>
          <w:p>
            <w:r/>
            <w:r>
              <w:rPr>
                <w:rFonts w:ascii="Segoe UI" w:hAnsi="Segoe UI"/>
                <w:sz w:val="20"/>
              </w:rPr>
              <w:t>62</w:t>
            </w:r>
          </w:p>
        </w:tc>
        <w:tc>
          <w:tcPr>
            <w:tcW w:type="dxa" w:w="3173"/>
          </w:tcPr>
          <w:p>
            <w:r/>
            <w:r>
              <w:rPr>
                <w:rFonts w:ascii="Segoe UI" w:hAnsi="Segoe UI"/>
                <w:sz w:val="20"/>
              </w:rPr>
              <w:t>équivalence entre les deux sources de données</w:t>
            </w:r>
          </w:p>
        </w:tc>
      </w:tr>
      <w:tr>
        <w:tc>
          <w:tcPr>
            <w:tcW w:type="dxa" w:w="3173"/>
          </w:tcPr>
          <w:p>
            <w:r/>
            <w:r>
              <w:rPr>
                <w:rFonts w:ascii="Segoe UI" w:hAnsi="Segoe UI"/>
                <w:sz w:val="20"/>
              </w:rPr>
              <w:t>Total</w:t>
            </w:r>
          </w:p>
        </w:tc>
        <w:tc>
          <w:tcPr>
            <w:tcW w:type="dxa" w:w="3173"/>
          </w:tcPr>
          <w:p>
            <w:r/>
            <w:r>
              <w:rPr>
                <w:rFonts w:ascii="Segoe UI" w:hAnsi="Segoe UI"/>
                <w:sz w:val="20"/>
              </w:rPr>
              <w:t>386 + 62</w:t>
            </w:r>
          </w:p>
        </w:tc>
        <w:tc>
          <w:tcPr>
            <w:tcW w:type="dxa" w:w="3173"/>
          </w:tcPr>
          <w:p>
            <w:r/>
            <w:r>
              <w:rPr>
                <w:rFonts w:ascii="Segoe UI" w:hAnsi="Segoe UI"/>
                <w:sz w:val="20"/>
              </w:rPr>
              <w:t>lancés à chaque changement</w:t>
            </w:r>
          </w:p>
        </w:tc>
      </w:tr>
    </w:tbl>
    <w:p>
      <w:pPr>
        <w:spacing w:after="120"/>
      </w:pPr>
    </w:p>
    <w:p>
      <w:pPr>
        <w:spacing w:before="0" w:after="140"/>
      </w:pPr>
      <w:r>
        <w:rPr>
          <w:rFonts w:ascii="Segoe UI" w:hAnsi="Segoe UI"/>
          <w:b w:val="0"/>
          <w:i w:val="0"/>
          <w:color w:val="14181F"/>
          <w:sz w:val="21"/>
        </w:rPr>
        <w:t>Les 62 tests de base ne tournent que lorsqu'une vraie base PostgreSQL est disponible. Ils vérifient qu'à données égales, l'API sur base et l'API sur fichiers renvoient les mêmes scores, les mêmes raisons et les mêmes cohortes.</w:t>
      </w:r>
    </w:p>
    <w:p>
      <w:pPr>
        <w:spacing w:before="280" w:after="100"/>
      </w:pPr>
      <w:r>
        <w:rPr>
          <w:rFonts w:ascii="Segoe UI" w:hAnsi="Segoe UI"/>
          <w:b/>
          <w:i w:val="0"/>
          <w:color w:val="D95A0E"/>
          <w:sz w:val="26"/>
        </w:rPr>
        <w:t>La documentation</w:t>
      </w:r>
    </w:p>
    <w:p>
      <w:pPr>
        <w:pStyle w:val="ListBullet"/>
        <w:spacing w:after="80"/>
      </w:pPr>
      <w:r>
        <w:rPr>
          <w:rFonts w:ascii="Segoe UI" w:hAnsi="Segoe UI"/>
          <w:sz w:val="21"/>
        </w:rPr>
        <w:t>Un mode d'emploi complet du projet, tenu à jour dans le dépôt.</w:t>
      </w:r>
    </w:p>
    <w:p>
      <w:pPr>
        <w:pStyle w:val="ListBullet"/>
        <w:spacing w:after="80"/>
      </w:pPr>
      <w:r>
        <w:rPr>
          <w:rFonts w:ascii="Segoe UI" w:hAnsi="Segoe UI"/>
          <w:sz w:val="21"/>
        </w:rPr>
        <w:t>Un document de modèle de données, avec les tables, les cardinalités et le SQL complet.</w:t>
      </w:r>
    </w:p>
    <w:p>
      <w:pPr>
        <w:pStyle w:val="ListBullet"/>
        <w:spacing w:after="80"/>
      </w:pPr>
      <w:r>
        <w:rPr>
          <w:rFonts w:ascii="Segoe UI" w:hAnsi="Segoe UI"/>
          <w:sz w:val="21"/>
        </w:rPr>
        <w:t>Un suivi des tâches daté, qui sert de journal de décision : chaque changement de cap y figure avec sa raison.</w:t>
      </w:r>
    </w:p>
    <w:p>
      <w:pPr>
        <w:spacing w:before="280" w:after="100"/>
      </w:pPr>
      <w:r>
        <w:rPr>
          <w:rFonts w:ascii="Segoe UI" w:hAnsi="Segoe UI"/>
          <w:b/>
          <w:i w:val="0"/>
          <w:color w:val="D95A0E"/>
          <w:sz w:val="26"/>
        </w:rPr>
        <w:t>Le déploiement</w:t>
      </w:r>
    </w:p>
    <w:p>
      <w:pPr>
        <w:spacing w:before="0" w:after="140"/>
      </w:pPr>
      <w:r>
        <w:rPr>
          <w:rFonts w:ascii="Segoe UI" w:hAnsi="Segoe UI"/>
          <w:b w:val="0"/>
          <w:i w:val="0"/>
          <w:color w:val="14181F"/>
          <w:sz w:val="21"/>
        </w:rPr>
        <w:t>Trois services tournent en production : le site, l'API et la base. La mise en ligne a fait l'objet d'une reprise complète après un constat sévère : les services existaient, mais le site n'avait jamais réussi un seul appel à l'API, et la base n'était pas connectée. Deux erreurs de configuration silencieuses en étaient la cause — dont un secret de signature devinable, qui permettait de forger un jeton valide.</w:t>
      </w:r>
    </w:p>
    <w:p>
      <w:pPr>
        <w:spacing w:before="0" w:after="140"/>
      </w:pPr>
      <w:r>
        <w:rPr>
          <w:rFonts w:ascii="Segoe UI" w:hAnsi="Segoe UI"/>
          <w:b w:val="0"/>
          <w:i w:val="0"/>
          <w:color w:val="14181F"/>
          <w:sz w:val="21"/>
        </w:rPr>
        <w:t>Ces deux erreurs sont désormais détectées et signalées au démarrage de l'API, au lieu de passer inaperçues. Le garde-fou a servi dès le déploiement suivant.</w:t>
      </w:r>
    </w:p>
    <w:p>
      <w:r>
        <w:br w:type="page"/>
      </w:r>
    </w:p>
    <w:p>
      <w:pPr>
        <w:spacing w:before="0" w:after="80"/>
      </w:pPr>
      <w:r>
        <w:rPr>
          <w:rFonts w:ascii="Segoe UI" w:hAnsi="Segoe UI"/>
          <w:b/>
          <w:i w:val="0"/>
          <w:color w:val="14181F"/>
          <w:sz w:val="38"/>
        </w:rPr>
        <w:t>9.  L'organisation de l'équipe</w:t>
      </w:r>
    </w:p>
    <w:p>
      <w:pPr>
        <w:spacing w:after="240"/>
      </w:pPr>
      <w:r>
        <w:rPr>
          <w:color w:val="D95A0E"/>
          <w:sz w:val="20"/>
        </w:rPr>
        <w:t>————————————————————————————</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tcPr>
          <w:p>
            <w:r/>
            <w:r>
              <w:rPr>
                <w:rFonts w:ascii="Segoe UI" w:hAnsi="Segoe UI"/>
                <w:b/>
                <w:sz w:val="20"/>
              </w:rPr>
              <w:t>Membre</w:t>
            </w:r>
          </w:p>
        </w:tc>
        <w:tc>
          <w:tcPr>
            <w:tcW w:type="dxa" w:w="3173"/>
          </w:tcPr>
          <w:p>
            <w:r/>
            <w:r>
              <w:rPr>
                <w:rFonts w:ascii="Segoe UI" w:hAnsi="Segoe UI"/>
                <w:b/>
                <w:sz w:val="20"/>
              </w:rPr>
              <w:t>Rôle</w:t>
            </w:r>
          </w:p>
        </w:tc>
        <w:tc>
          <w:tcPr>
            <w:tcW w:type="dxa" w:w="3173"/>
          </w:tcPr>
          <w:p>
            <w:r/>
            <w:r>
              <w:rPr>
                <w:rFonts w:ascii="Segoe UI" w:hAnsi="Segoe UI"/>
                <w:b/>
                <w:sz w:val="20"/>
              </w:rPr>
              <w:t>Périmètre</w:t>
            </w:r>
          </w:p>
        </w:tc>
      </w:tr>
      <w:tr>
        <w:tc>
          <w:tcPr>
            <w:tcW w:type="dxa" w:w="3173"/>
          </w:tcPr>
          <w:p>
            <w:r/>
            <w:r>
              <w:rPr>
                <w:rFonts w:ascii="Segoe UI" w:hAnsi="Segoe UI"/>
                <w:sz w:val="20"/>
              </w:rPr>
              <w:t>Papa Malick NDIAYE</w:t>
            </w:r>
          </w:p>
        </w:tc>
        <w:tc>
          <w:tcPr>
            <w:tcW w:type="dxa" w:w="3173"/>
          </w:tcPr>
          <w:p>
            <w:r/>
            <w:r>
              <w:rPr>
                <w:rFonts w:ascii="Segoe UI" w:hAnsi="Segoe UI"/>
                <w:sz w:val="20"/>
              </w:rPr>
              <w:t>Lead dev — moteur et données</w:t>
            </w:r>
          </w:p>
        </w:tc>
        <w:tc>
          <w:tcPr>
            <w:tcW w:type="dxa" w:w="3173"/>
          </w:tcPr>
          <w:p>
            <w:r/>
            <w:r>
              <w:rPr>
                <w:rFonts w:ascii="Segoe UI" w:hAnsi="Segoe UI"/>
                <w:sz w:val="20"/>
              </w:rPr>
              <w:t>Scoring, API, base, détection et alertes, déploiement, tests backend</w:t>
            </w:r>
          </w:p>
        </w:tc>
      </w:tr>
      <w:tr>
        <w:tc>
          <w:tcPr>
            <w:tcW w:type="dxa" w:w="3173"/>
          </w:tcPr>
          <w:p>
            <w:r/>
            <w:r>
              <w:rPr>
                <w:rFonts w:ascii="Segoe UI" w:hAnsi="Segoe UI"/>
                <w:sz w:val="20"/>
              </w:rPr>
              <w:t>Cheikh Massamba Dia</w:t>
            </w:r>
          </w:p>
        </w:tc>
        <w:tc>
          <w:tcPr>
            <w:tcW w:type="dxa" w:w="3173"/>
          </w:tcPr>
          <w:p>
            <w:r/>
            <w:r>
              <w:rPr>
                <w:rFonts w:ascii="Segoe UI" w:hAnsi="Segoe UI"/>
                <w:sz w:val="20"/>
              </w:rPr>
              <w:t>Interface</w:t>
            </w:r>
          </w:p>
        </w:tc>
        <w:tc>
          <w:tcPr>
            <w:tcW w:type="dxa" w:w="3173"/>
          </w:tcPr>
          <w:p>
            <w:r/>
            <w:r>
              <w:rPr>
                <w:rFonts w:ascii="Segoe UI" w:hAnsi="Segoe UI"/>
                <w:sz w:val="20"/>
              </w:rPr>
              <w:t>Parcours mentor complet, design system, accessibilité, tests frontend</w:t>
            </w:r>
          </w:p>
        </w:tc>
      </w:tr>
      <w:tr>
        <w:tc>
          <w:tcPr>
            <w:tcW w:type="dxa" w:w="3173"/>
          </w:tcPr>
          <w:p>
            <w:r/>
            <w:r>
              <w:rPr>
                <w:rFonts w:ascii="Segoe UI" w:hAnsi="Segoe UI"/>
                <w:sz w:val="20"/>
              </w:rPr>
              <w:t>Kiné DIALLO</w:t>
            </w:r>
          </w:p>
        </w:tc>
        <w:tc>
          <w:tcPr>
            <w:tcW w:type="dxa" w:w="3173"/>
          </w:tcPr>
          <w:p>
            <w:r/>
            <w:r>
              <w:rPr>
                <w:rFonts w:ascii="Segoe UI" w:hAnsi="Segoe UI"/>
                <w:sz w:val="20"/>
              </w:rPr>
              <w:t>Produit et terrain</w:t>
            </w:r>
          </w:p>
        </w:tc>
        <w:tc>
          <w:tcPr>
            <w:tcW w:type="dxa" w:w="3173"/>
          </w:tcPr>
          <w:p>
            <w:r/>
            <w:r>
              <w:rPr>
                <w:rFonts w:ascii="Segoe UI" w:hAnsi="Segoe UI"/>
                <w:sz w:val="20"/>
              </w:rPr>
              <w:t>Entretiens, persona, besoins classés, suivi des livrables</w:t>
            </w:r>
          </w:p>
        </w:tc>
      </w:tr>
    </w:tbl>
    <w:p>
      <w:pPr>
        <w:spacing w:after="120"/>
      </w:pPr>
    </w:p>
    <w:p>
      <w:pPr>
        <w:spacing w:before="280" w:after="100"/>
      </w:pPr>
      <w:r>
        <w:rPr>
          <w:rFonts w:ascii="Segoe UI" w:hAnsi="Segoe UI"/>
          <w:b/>
          <w:i w:val="0"/>
          <w:color w:val="D95A0E"/>
          <w:sz w:val="26"/>
        </w:rPr>
        <w:t>La méthode de travail</w:t>
      </w:r>
    </w:p>
    <w:p>
      <w:pPr>
        <w:pStyle w:val="ListBullet"/>
        <w:spacing w:after="80"/>
      </w:pPr>
      <w:r>
        <w:rPr>
          <w:rFonts w:ascii="Segoe UI" w:hAnsi="Segoe UI"/>
          <w:sz w:val="21"/>
        </w:rPr>
        <w:t>Une tâche = une branche dédiée, nommée d'après la tâche.</w:t>
      </w:r>
    </w:p>
    <w:p>
      <w:pPr>
        <w:pStyle w:val="ListBullet"/>
        <w:spacing w:after="80"/>
      </w:pPr>
      <w:r>
        <w:rPr>
          <w:rFonts w:ascii="Segoe UI" w:hAnsi="Segoe UI"/>
          <w:sz w:val="21"/>
        </w:rPr>
        <w:t>Une demande de fusion par branche, relue par un autre membre de l'équipe.</w:t>
      </w:r>
    </w:p>
    <w:p>
      <w:pPr>
        <w:pStyle w:val="ListBullet"/>
        <w:spacing w:after="80"/>
      </w:pPr>
      <w:r>
        <w:rPr>
          <w:rFonts w:ascii="Segoe UI" w:hAnsi="Segoe UI"/>
          <w:sz w:val="21"/>
        </w:rPr>
        <w:t>La fusion dans la branche commune est faite par le lead dev, après revue.</w:t>
      </w:r>
    </w:p>
    <w:p>
      <w:pPr>
        <w:pStyle w:val="ListBullet"/>
        <w:spacing w:after="80"/>
      </w:pPr>
      <w:r>
        <w:rPr>
          <w:rFonts w:ascii="Segoe UI" w:hAnsi="Segoe UI"/>
          <w:sz w:val="21"/>
        </w:rPr>
        <w:t>Aucun développement direct sur la branche commune.</w:t>
      </w:r>
    </w:p>
    <w:p>
      <w:pPr>
        <w:spacing w:before="120" w:after="140"/>
      </w:pPr>
      <w:r>
        <w:rPr>
          <w:rFonts w:ascii="Segoe UI" w:hAnsi="Segoe UI"/>
          <w:b w:val="0"/>
          <w:i w:val="0"/>
          <w:color w:val="14181F"/>
          <w:sz w:val="21"/>
        </w:rPr>
        <w:t>Soixante-treize tâches ont été livrées sur soixante-treize prévues. Le backlog est vide : backend, frontend et automatisation sont terminés.</w:t>
      </w:r>
    </w:p>
    <w:p>
      <w:r>
        <w:br w:type="page"/>
      </w:r>
    </w:p>
    <w:p>
      <w:pPr>
        <w:spacing w:before="0" w:after="80"/>
      </w:pPr>
      <w:r>
        <w:rPr>
          <w:rFonts w:ascii="Segoe UI" w:hAnsi="Segoe UI"/>
          <w:b/>
          <w:i w:val="0"/>
          <w:color w:val="14181F"/>
          <w:sz w:val="38"/>
        </w:rPr>
        <w:t>10.  Limites connues et suite</w:t>
      </w:r>
    </w:p>
    <w:p>
      <w:pPr>
        <w:spacing w:after="240"/>
      </w:pPr>
      <w:r>
        <w:rPr>
          <w:color w:val="D95A0E"/>
          <w:sz w:val="20"/>
        </w:rPr>
        <w:t>————————————————————————————</w:t>
      </w:r>
    </w:p>
    <w:p>
      <w:pPr>
        <w:spacing w:before="280" w:after="100"/>
      </w:pPr>
      <w:r>
        <w:rPr>
          <w:rFonts w:ascii="Segoe UI" w:hAnsi="Segoe UI"/>
          <w:b/>
          <w:i w:val="0"/>
          <w:color w:val="D95A0E"/>
          <w:sz w:val="26"/>
        </w:rPr>
        <w:t>Ce qui n'est pas fini, et que nous assumons</w:t>
      </w:r>
    </w:p>
    <w:p>
      <w:pPr>
        <w:pStyle w:val="ListBullet"/>
        <w:spacing w:after="80"/>
      </w:pPr>
      <w:r>
        <w:rPr>
          <w:rFonts w:ascii="Segoe UI" w:hAnsi="Segoe UI"/>
          <w:sz w:val="21"/>
        </w:rPr>
        <w:t>L'envoi du mail passe par un service externe : l'API rédige le message, un scénario le poste. Le jour où un serveur d'envoi est configuré, l'API enverra elle-même et la file se videra d'elle-même.</w:t>
      </w:r>
    </w:p>
    <w:p>
      <w:pPr>
        <w:pStyle w:val="ListBullet"/>
        <w:spacing w:after="80"/>
      </w:pPr>
      <w:r>
        <w:rPr>
          <w:rFonts w:ascii="Segoe UI" w:hAnsi="Segoe UI"/>
          <w:sz w:val="21"/>
        </w:rPr>
        <w:t>La base gratuite utilisée expire le 18 septembre 2026. Passé cette date, l'API retombe sur son repli fichier : elle continue de fonctionner, mais les interventions saisies ne survivent plus au redémarrage.</w:t>
      </w:r>
    </w:p>
    <w:p>
      <w:pPr>
        <w:pStyle w:val="ListBullet"/>
        <w:spacing w:after="80"/>
      </w:pPr>
      <w:r>
        <w:rPr>
          <w:rFonts w:ascii="Segoe UI" w:hAnsi="Segoe UI"/>
          <w:sz w:val="21"/>
        </w:rPr>
        <w:t>La gestion des comptes mentor se fait en ligne de commande, pas dans l'interface. C'est un choix de périmètre : pas de route d'inscription, donc rien de plus à attaquer.</w:t>
      </w:r>
    </w:p>
    <w:p>
      <w:pPr>
        <w:pStyle w:val="ListBullet"/>
        <w:spacing w:after="80"/>
      </w:pPr>
      <w:r>
        <w:rPr>
          <w:rFonts w:ascii="Segoe UI" w:hAnsi="Segoe UI"/>
          <w:sz w:val="21"/>
        </w:rPr>
        <w:t>Un jeton reste valable jusqu'à son expiration : se déconnecter l'efface du navigateur mais ne l'invalide pas côté serveur.</w:t>
      </w:r>
    </w:p>
    <w:p>
      <w:pPr>
        <w:pStyle w:val="ListBullet"/>
        <w:spacing w:after="80"/>
      </w:pPr>
      <w:r>
        <w:rPr>
          <w:rFonts w:ascii="Segoe UI" w:hAnsi="Segoe UI"/>
          <w:sz w:val="21"/>
        </w:rPr>
        <w:t>Le jeu de données de démonstration est généré, pas réel — la plateforme de Xarala n'est pas encore accessible.</w:t>
      </w:r>
    </w:p>
    <w:p>
      <w:pPr>
        <w:spacing w:before="280" w:after="100"/>
      </w:pPr>
      <w:r>
        <w:rPr>
          <w:rFonts w:ascii="Segoe UI" w:hAnsi="Segoe UI"/>
          <w:b/>
          <w:i w:val="0"/>
          <w:color w:val="D95A0E"/>
          <w:sz w:val="26"/>
        </w:rPr>
        <w:t>Les suites naturelles</w:t>
      </w:r>
    </w:p>
    <w:p>
      <w:pPr>
        <w:pStyle w:val="ListBullet"/>
        <w:spacing w:after="80"/>
      </w:pPr>
      <w:r>
        <w:rPr>
          <w:rFonts w:ascii="Segoe UI" w:hAnsi="Segoe UI"/>
          <w:sz w:val="21"/>
        </w:rPr>
        <w:t>Brancher la vraie source de données : seule la couche de lecture est concernée, le reste ne bouge pas.</w:t>
      </w:r>
    </w:p>
    <w:p>
      <w:pPr>
        <w:pStyle w:val="ListBullet"/>
        <w:spacing w:after="80"/>
      </w:pPr>
      <w:r>
        <w:rPr>
          <w:rFonts w:ascii="Segoe UI" w:hAnsi="Segoe UI"/>
          <w:sz w:val="21"/>
        </w:rPr>
        <w:t>Configurer un envoi de mail direct depuis l'API.</w:t>
      </w:r>
    </w:p>
    <w:p>
      <w:pPr>
        <w:pStyle w:val="ListBullet"/>
        <w:spacing w:after="80"/>
      </w:pPr>
      <w:r>
        <w:rPr>
          <w:rFonts w:ascii="Segoe UI" w:hAnsi="Segoe UI"/>
          <w:sz w:val="21"/>
        </w:rPr>
        <w:t>Ouvrir la gestion des comptes mentor dans l'interface.</w:t>
      </w:r>
    </w:p>
    <w:p>
      <w:pPr>
        <w:pStyle w:val="ListBullet"/>
        <w:spacing w:after="80"/>
      </w:pPr>
      <w:r>
        <w:rPr>
          <w:rFonts w:ascii="Segoe UI" w:hAnsi="Segoe UI"/>
          <w:sz w:val="21"/>
        </w:rPr>
        <w:t>Ajuster les seuils avec les coachs, après quelques semaines d'usage réel.</w:t>
      </w:r>
    </w:p>
    <w:p>
      <w:r>
        <w:br w:type="page"/>
      </w:r>
    </w:p>
    <w:p>
      <w:pPr>
        <w:spacing w:before="0" w:after="80"/>
      </w:pPr>
      <w:r>
        <w:rPr>
          <w:rFonts w:ascii="Segoe UI" w:hAnsi="Segoe UI"/>
          <w:b/>
          <w:i w:val="0"/>
          <w:color w:val="14181F"/>
          <w:sz w:val="38"/>
        </w:rPr>
        <w:t>11.  Annexes</w:t>
      </w:r>
    </w:p>
    <w:p>
      <w:pPr>
        <w:spacing w:after="240"/>
      </w:pPr>
      <w:r>
        <w:rPr>
          <w:color w:val="D95A0E"/>
          <w:sz w:val="20"/>
        </w:rPr>
        <w:t>————————————————————————————</w:t>
      </w:r>
    </w:p>
    <w:p>
      <w:pPr>
        <w:spacing w:before="280" w:after="100"/>
      </w:pPr>
      <w:r>
        <w:rPr>
          <w:rFonts w:ascii="Segoe UI" w:hAnsi="Segoe UI"/>
          <w:b/>
          <w:i w:val="0"/>
          <w:color w:val="D95A0E"/>
          <w:sz w:val="26"/>
        </w:rPr>
        <w:t>Accès</w:t>
      </w:r>
    </w:p>
    <w:tbl>
      <w:tblPr>
        <w:tblStyle w:val="LightGrid-Accent1"/>
        <w:tblW w:type="auto" w:w="0"/>
        <w:jc w:val="center"/>
        <w:tblLook w:firstColumn="1" w:firstRow="1" w:lastColumn="0" w:lastRow="0" w:noHBand="0" w:noVBand="1" w:val="04A0"/>
      </w:tblPr>
      <w:tblGrid>
        <w:gridCol w:w="4759"/>
        <w:gridCol w:w="4759"/>
      </w:tblGrid>
      <w:tr>
        <w:tc>
          <w:tcPr>
            <w:tcW w:type="dxa" w:w="4759"/>
          </w:tcPr>
          <w:p>
            <w:r/>
            <w:r>
              <w:rPr>
                <w:rFonts w:ascii="Segoe UI" w:hAnsi="Segoe UI"/>
                <w:b/>
                <w:sz w:val="20"/>
              </w:rPr>
              <w:t>Ressource</w:t>
            </w:r>
          </w:p>
        </w:tc>
        <w:tc>
          <w:tcPr>
            <w:tcW w:type="dxa" w:w="4759"/>
          </w:tcPr>
          <w:p>
            <w:r/>
            <w:r>
              <w:rPr>
                <w:rFonts w:ascii="Segoe UI" w:hAnsi="Segoe UI"/>
                <w:b/>
                <w:sz w:val="20"/>
              </w:rPr>
              <w:t>Adresse</w:t>
            </w:r>
          </w:p>
        </w:tc>
      </w:tr>
      <w:tr>
        <w:tc>
          <w:tcPr>
            <w:tcW w:type="dxa" w:w="4759"/>
          </w:tcPr>
          <w:p>
            <w:r/>
            <w:r>
              <w:rPr>
                <w:rFonts w:ascii="Segoe UI" w:hAnsi="Segoe UI"/>
                <w:sz w:val="20"/>
              </w:rPr>
              <w:t>Interface</w:t>
            </w:r>
          </w:p>
        </w:tc>
        <w:tc>
          <w:tcPr>
            <w:tcW w:type="dxa" w:w="4759"/>
          </w:tcPr>
          <w:p>
            <w:r/>
            <w:r>
              <w:rPr>
                <w:rFonts w:ascii="Segoe UI" w:hAnsi="Segoe UI"/>
                <w:sz w:val="20"/>
              </w:rPr>
              <w:t>learner-success-front.onrender.com/learner-success</w:t>
            </w:r>
          </w:p>
        </w:tc>
      </w:tr>
      <w:tr>
        <w:tc>
          <w:tcPr>
            <w:tcW w:type="dxa" w:w="4759"/>
          </w:tcPr>
          <w:p>
            <w:r/>
            <w:r>
              <w:rPr>
                <w:rFonts w:ascii="Segoe UI" w:hAnsi="Segoe UI"/>
                <w:sz w:val="20"/>
              </w:rPr>
              <w:t>API (documentation)</w:t>
            </w:r>
          </w:p>
        </w:tc>
        <w:tc>
          <w:tcPr>
            <w:tcW w:type="dxa" w:w="4759"/>
          </w:tcPr>
          <w:p>
            <w:r/>
            <w:r>
              <w:rPr>
                <w:rFonts w:ascii="Segoe UI" w:hAnsi="Segoe UI"/>
                <w:sz w:val="20"/>
              </w:rPr>
              <w:t>learner-success-api.onrender.com/docs</w:t>
            </w:r>
          </w:p>
        </w:tc>
      </w:tr>
      <w:tr>
        <w:tc>
          <w:tcPr>
            <w:tcW w:type="dxa" w:w="4759"/>
          </w:tcPr>
          <w:p>
            <w:r/>
            <w:r>
              <w:rPr>
                <w:rFonts w:ascii="Segoe UI" w:hAnsi="Segoe UI"/>
                <w:sz w:val="20"/>
              </w:rPr>
              <w:t>Dépôt de code</w:t>
            </w:r>
          </w:p>
        </w:tc>
        <w:tc>
          <w:tcPr>
            <w:tcW w:type="dxa" w:w="4759"/>
          </w:tcPr>
          <w:p>
            <w:r/>
            <w:r>
              <w:rPr>
                <w:rFonts w:ascii="Segoe UI" w:hAnsi="Segoe UI"/>
                <w:sz w:val="20"/>
              </w:rPr>
              <w:t>gitlab.com/xarala221/squad-djolof</w:t>
            </w:r>
          </w:p>
        </w:tc>
      </w:tr>
    </w:tbl>
    <w:p>
      <w:pPr>
        <w:spacing w:after="120"/>
      </w:pPr>
    </w:p>
    <w:p>
      <w:pPr>
        <w:spacing w:before="280" w:after="100"/>
      </w:pPr>
      <w:r>
        <w:rPr>
          <w:rFonts w:ascii="Segoe UI" w:hAnsi="Segoe UI"/>
          <w:b/>
          <w:i w:val="0"/>
          <w:color w:val="D95A0E"/>
          <w:sz w:val="26"/>
        </w:rPr>
        <w:t>Comptes de démonstration</w:t>
      </w:r>
    </w:p>
    <w:tbl>
      <w:tblPr>
        <w:tblStyle w:val="LightGrid-Accent1"/>
        <w:tblW w:type="auto" w:w="0"/>
        <w:jc w:val="center"/>
        <w:tblLook w:firstColumn="1" w:firstRow="1" w:lastColumn="0" w:lastRow="0" w:noHBand="0" w:noVBand="1" w:val="04A0"/>
      </w:tblPr>
      <w:tblGrid>
        <w:gridCol w:w="4759"/>
        <w:gridCol w:w="4759"/>
      </w:tblGrid>
      <w:tr>
        <w:tc>
          <w:tcPr>
            <w:tcW w:type="dxa" w:w="4759"/>
          </w:tcPr>
          <w:p>
            <w:r/>
            <w:r>
              <w:rPr>
                <w:rFonts w:ascii="Segoe UI" w:hAnsi="Segoe UI"/>
                <w:b/>
                <w:sz w:val="20"/>
              </w:rPr>
              <w:t>Identifiant</w:t>
            </w:r>
          </w:p>
        </w:tc>
        <w:tc>
          <w:tcPr>
            <w:tcW w:type="dxa" w:w="4759"/>
          </w:tcPr>
          <w:p>
            <w:r/>
            <w:r>
              <w:rPr>
                <w:rFonts w:ascii="Segoe UI" w:hAnsi="Segoe UI"/>
                <w:b/>
                <w:sz w:val="20"/>
              </w:rPr>
              <w:t>Cohortes attribuées</w:t>
            </w:r>
          </w:p>
        </w:tc>
      </w:tr>
      <w:tr>
        <w:tc>
          <w:tcPr>
            <w:tcW w:type="dxa" w:w="4759"/>
          </w:tcPr>
          <w:p>
            <w:r/>
            <w:r>
              <w:rPr>
                <w:rFonts w:ascii="Segoe UI" w:hAnsi="Segoe UI"/>
                <w:sz w:val="20"/>
              </w:rPr>
              <w:t>papa.malick</w:t>
            </w:r>
          </w:p>
        </w:tc>
        <w:tc>
          <w:tcPr>
            <w:tcW w:type="dxa" w:w="4759"/>
          </w:tcPr>
          <w:p>
            <w:r/>
            <w:r>
              <w:rPr>
                <w:rFonts w:ascii="Segoe UI" w:hAnsi="Segoe UI"/>
                <w:sz w:val="20"/>
              </w:rPr>
              <w:t>Dev Web Dakar 2025, Dev Web En ligne 2025</w:t>
            </w:r>
          </w:p>
        </w:tc>
      </w:tr>
      <w:tr>
        <w:tc>
          <w:tcPr>
            <w:tcW w:type="dxa" w:w="4759"/>
          </w:tcPr>
          <w:p>
            <w:r/>
            <w:r>
              <w:rPr>
                <w:rFonts w:ascii="Segoe UI" w:hAnsi="Segoe UI"/>
                <w:sz w:val="20"/>
              </w:rPr>
              <w:t>awa.ndiaye</w:t>
            </w:r>
          </w:p>
        </w:tc>
        <w:tc>
          <w:tcPr>
            <w:tcW w:type="dxa" w:w="4759"/>
          </w:tcPr>
          <w:p>
            <w:r/>
            <w:r>
              <w:rPr>
                <w:rFonts w:ascii="Segoe UI" w:hAnsi="Segoe UI"/>
                <w:sz w:val="20"/>
              </w:rPr>
              <w:t>Data Analyse Dakar 2025</w:t>
            </w:r>
          </w:p>
        </w:tc>
      </w:tr>
      <w:tr>
        <w:tc>
          <w:tcPr>
            <w:tcW w:type="dxa" w:w="4759"/>
          </w:tcPr>
          <w:p>
            <w:r/>
            <w:r>
              <w:rPr>
                <w:rFonts w:ascii="Segoe UI" w:hAnsi="Segoe UI"/>
                <w:sz w:val="20"/>
              </w:rPr>
              <w:t>cheikh.sarr</w:t>
            </w:r>
          </w:p>
        </w:tc>
        <w:tc>
          <w:tcPr>
            <w:tcW w:type="dxa" w:w="4759"/>
          </w:tcPr>
          <w:p>
            <w:r/>
            <w:r>
              <w:rPr>
                <w:rFonts w:ascii="Segoe UI" w:hAnsi="Segoe UI"/>
                <w:sz w:val="20"/>
              </w:rPr>
              <w:t>Dev Mobile Thiès 2025</w:t>
            </w:r>
          </w:p>
        </w:tc>
      </w:tr>
      <w:tr>
        <w:tc>
          <w:tcPr>
            <w:tcW w:type="dxa" w:w="4759"/>
          </w:tcPr>
          <w:p>
            <w:r/>
            <w:r>
              <w:rPr>
                <w:rFonts w:ascii="Segoe UI" w:hAnsi="Segoe UI"/>
                <w:sz w:val="20"/>
              </w:rPr>
              <w:t>bineta.camara</w:t>
            </w:r>
          </w:p>
        </w:tc>
        <w:tc>
          <w:tcPr>
            <w:tcW w:type="dxa" w:w="4759"/>
          </w:tcPr>
          <w:p>
            <w:r/>
            <w:r>
              <w:rPr>
                <w:rFonts w:ascii="Segoe UI" w:hAnsi="Segoe UI"/>
                <w:sz w:val="20"/>
              </w:rPr>
              <w:t>les quatre cohortes</w:t>
            </w:r>
          </w:p>
        </w:tc>
      </w:tr>
    </w:tbl>
    <w:p>
      <w:pPr>
        <w:spacing w:after="120"/>
      </w:pPr>
    </w:p>
    <w:p>
      <w:pPr>
        <w:spacing w:before="280" w:after="100"/>
      </w:pPr>
      <w:r>
        <w:rPr>
          <w:rFonts w:ascii="Segoe UI" w:hAnsi="Segoe UI"/>
          <w:b/>
          <w:i w:val="0"/>
          <w:color w:val="D95A0E"/>
          <w:sz w:val="26"/>
        </w:rPr>
        <w:t>Le jeu de données</w:t>
      </w:r>
    </w:p>
    <w:p>
      <w:pPr>
        <w:pStyle w:val="ListBullet"/>
        <w:spacing w:after="80"/>
      </w:pPr>
      <w:r>
        <w:rPr>
          <w:rFonts w:ascii="Segoe UI" w:hAnsi="Segoe UI"/>
          <w:sz w:val="21"/>
        </w:rPr>
        <w:t>50 apprenants répartis sur 4 cohortes.</w:t>
      </w:r>
    </w:p>
    <w:p>
      <w:pPr>
        <w:pStyle w:val="ListBullet"/>
        <w:spacing w:after="80"/>
      </w:pPr>
      <w:r>
        <w:rPr>
          <w:rFonts w:ascii="Segoe UI" w:hAnsi="Segoe UI"/>
          <w:sz w:val="21"/>
        </w:rPr>
        <w:t>30 jours d'activité quotidienne par apprenant : présence, connexions, progression.</w:t>
      </w:r>
    </w:p>
    <w:p>
      <w:pPr>
        <w:pStyle w:val="ListBullet"/>
        <w:spacing w:after="80"/>
      </w:pPr>
      <w:r>
        <w:rPr>
          <w:rFonts w:ascii="Segoe UI" w:hAnsi="Segoe UI"/>
          <w:sz w:val="21"/>
        </w:rPr>
        <w:t>Les deux fichiers sont cohérents entre eux : le détail quotidien redonne exactement les totaux affichés sur la fiche.</w:t>
      </w:r>
    </w:p>
    <w:p>
      <w:pPr>
        <w:spacing w:before="0" w:after="140"/>
      </w:pPr>
      <w:r>
        <w:rPr>
          <w:rFonts w:ascii="Segoe UI" w:hAnsi="Segoe UI"/>
          <w:b w:val="0"/>
          <w:i w:val="0"/>
          <w:color w:val="14181F"/>
          <w:sz w:val="21"/>
        </w:rPr>
      </w:r>
    </w:p>
    <w:p>
      <w:pPr>
        <w:spacing w:before="0" w:after="140"/>
      </w:pPr>
      <w:r>
        <w:rPr>
          <w:rFonts w:ascii="Segoe UI" w:hAnsi="Segoe UI"/>
          <w:b w:val="0"/>
          <w:i/>
          <w:color w:val="5A626E"/>
          <w:sz w:val="18"/>
        </w:rPr>
        <w:t>Rapport établi le 11 septembre 2026 — Squad Djoloff, DJ-01.</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