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6B1D91">
      <w:pPr>
        <w:spacing w:after="0"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7CFDD761" wp14:editId="313CA737">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6B1D91">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B705B5" w:rsidP="006B1D91">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KETUA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6B1D91">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/SK.0</w:t>
      </w:r>
      <w:r w:rsidR="00C4197C">
        <w:rPr>
          <w:rFonts w:asciiTheme="majorHAnsi" w:eastAsia="Malgun Gothic Semilight" w:hAnsiTheme="majorHAnsi" w:cs="Times New Roman"/>
          <w:b/>
          <w:sz w:val="24"/>
          <w:szCs w:val="24"/>
        </w:rPr>
        <w:t>2</w:t>
      </w:r>
      <w:r w:rsidR="00B705B5">
        <w:rPr>
          <w:rFonts w:asciiTheme="majorHAnsi" w:eastAsia="Malgun Gothic Semilight" w:hAnsiTheme="majorHAnsi" w:cs="Times New Roman"/>
          <w:b/>
          <w:sz w:val="24"/>
          <w:szCs w:val="24"/>
        </w:rPr>
        <w:t>2</w:t>
      </w:r>
      <w:r w:rsidR="00F8558F" w:rsidRPr="00F8558F">
        <w:rPr>
          <w:rFonts w:asciiTheme="majorHAnsi" w:eastAsia="Malgun Gothic Semilight" w:hAnsiTheme="majorHAnsi" w:cs="Times New Roman"/>
          <w:b/>
          <w:sz w:val="24"/>
          <w:szCs w:val="24"/>
        </w:rPr>
        <w:t>/</w:t>
      </w:r>
      <w:r w:rsidR="00B705B5">
        <w:rPr>
          <w:rFonts w:asciiTheme="majorHAnsi" w:eastAsia="Malgun Gothic Semilight" w:hAnsiTheme="majorHAnsi" w:cs="Times New Roman"/>
          <w:b/>
          <w:sz w:val="24"/>
          <w:szCs w:val="24"/>
        </w:rPr>
        <w:t>PL</w:t>
      </w:r>
      <w:r w:rsidR="00F8558F" w:rsidRPr="00F8558F">
        <w:rPr>
          <w:rFonts w:asciiTheme="majorHAnsi" w:eastAsia="Malgun Gothic Semilight" w:hAnsiTheme="majorHAnsi" w:cs="Times New Roman"/>
          <w:b/>
          <w:sz w:val="24"/>
          <w:szCs w:val="24"/>
        </w:rPr>
        <w:t>/I/</w:t>
      </w:r>
      <w:r>
        <w:rPr>
          <w:rFonts w:asciiTheme="majorHAnsi" w:eastAsia="Malgun Gothic Semilight" w:hAnsiTheme="majorHAnsi" w:cs="Times New Roman"/>
          <w:b/>
          <w:sz w:val="24"/>
          <w:szCs w:val="24"/>
        </w:rPr>
        <w:t>2020</w:t>
      </w:r>
    </w:p>
    <w:p w:rsidR="00F8558F" w:rsidRPr="00F8558F" w:rsidRDefault="00F8558F" w:rsidP="006B1D91">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5100E4" w:rsidRPr="005100E4" w:rsidRDefault="005100E4" w:rsidP="005100E4">
      <w:pPr>
        <w:spacing w:after="0" w:line="360" w:lineRule="auto"/>
        <w:jc w:val="center"/>
        <w:rPr>
          <w:rFonts w:asciiTheme="majorHAnsi" w:eastAsia="Malgun Gothic Semilight" w:hAnsiTheme="majorHAnsi" w:cs="Times New Roman"/>
          <w:b/>
          <w:sz w:val="24"/>
          <w:szCs w:val="24"/>
        </w:rPr>
      </w:pPr>
      <w:r w:rsidRPr="005100E4">
        <w:rPr>
          <w:rFonts w:asciiTheme="majorHAnsi" w:eastAsia="Malgun Gothic Semilight" w:hAnsiTheme="majorHAnsi" w:cs="Times New Roman"/>
          <w:b/>
          <w:sz w:val="24"/>
          <w:szCs w:val="24"/>
        </w:rPr>
        <w:t xml:space="preserve">PENUNJUKAN TIM PENGELOLA SISTEM INFORMASI DAN MANAJEMEN </w:t>
      </w:r>
    </w:p>
    <w:p w:rsidR="005100E4" w:rsidRPr="005100E4" w:rsidRDefault="005100E4" w:rsidP="005100E4">
      <w:pPr>
        <w:spacing w:after="0" w:line="360" w:lineRule="auto"/>
        <w:jc w:val="center"/>
        <w:rPr>
          <w:rFonts w:asciiTheme="majorHAnsi" w:eastAsia="Malgun Gothic Semilight" w:hAnsiTheme="majorHAnsi" w:cs="Times New Roman"/>
          <w:b/>
          <w:sz w:val="24"/>
          <w:szCs w:val="24"/>
        </w:rPr>
      </w:pPr>
      <w:r w:rsidRPr="005100E4">
        <w:rPr>
          <w:rFonts w:asciiTheme="majorHAnsi" w:eastAsia="Malgun Gothic Semilight" w:hAnsiTheme="majorHAnsi" w:cs="Times New Roman"/>
          <w:b/>
          <w:sz w:val="24"/>
          <w:szCs w:val="24"/>
        </w:rPr>
        <w:t>AKUNTANSI BARANG MILIK NEGARA (SIMAKBMN)</w:t>
      </w:r>
    </w:p>
    <w:p w:rsidR="00A758AD" w:rsidRDefault="005100E4" w:rsidP="006B1D91">
      <w:pPr>
        <w:spacing w:after="0" w:line="360" w:lineRule="auto"/>
        <w:jc w:val="center"/>
        <w:rPr>
          <w:rFonts w:asciiTheme="majorHAnsi" w:eastAsia="Malgun Gothic Semilight" w:hAnsiTheme="majorHAnsi" w:cs="Times New Roman"/>
          <w:b/>
          <w:sz w:val="24"/>
          <w:szCs w:val="24"/>
        </w:rPr>
      </w:pPr>
      <w:r w:rsidRPr="005100E4">
        <w:rPr>
          <w:rFonts w:asciiTheme="majorHAnsi" w:eastAsia="Malgun Gothic Semilight" w:hAnsiTheme="majorHAnsi" w:cs="Times New Roman"/>
          <w:b/>
          <w:sz w:val="24"/>
          <w:szCs w:val="24"/>
        </w:rPr>
        <w:t xml:space="preserve">  PADA PENGADILAN AGAMA SELAYAR</w:t>
      </w:r>
      <w:r>
        <w:rPr>
          <w:rFonts w:asciiTheme="majorHAnsi" w:eastAsia="Malgun Gothic Semilight" w:hAnsiTheme="majorHAnsi" w:cs="Times New Roman"/>
          <w:b/>
          <w:sz w:val="24"/>
          <w:szCs w:val="24"/>
        </w:rPr>
        <w:t xml:space="preserve"> </w:t>
      </w:r>
      <w:r w:rsidR="00A758AD">
        <w:rPr>
          <w:rFonts w:asciiTheme="majorHAnsi" w:eastAsia="Malgun Gothic Semilight" w:hAnsiTheme="majorHAnsi" w:cs="Times New Roman"/>
          <w:b/>
          <w:sz w:val="24"/>
          <w:szCs w:val="24"/>
          <w:lang w:val="en-US"/>
        </w:rPr>
        <w:t xml:space="preserve">TAHUN </w:t>
      </w:r>
      <w:r w:rsidR="009D058A">
        <w:rPr>
          <w:rFonts w:asciiTheme="majorHAnsi" w:eastAsia="Malgun Gothic Semilight" w:hAnsiTheme="majorHAnsi" w:cs="Times New Roman"/>
          <w:b/>
          <w:sz w:val="24"/>
          <w:szCs w:val="24"/>
          <w:lang w:val="en-US"/>
        </w:rPr>
        <w:t>2020</w:t>
      </w:r>
    </w:p>
    <w:p w:rsidR="00567C74" w:rsidRPr="00567C74" w:rsidRDefault="00567C74" w:rsidP="006B1D91">
      <w:pPr>
        <w:spacing w:after="0" w:line="360" w:lineRule="auto"/>
        <w:jc w:val="center"/>
        <w:rPr>
          <w:rFonts w:asciiTheme="majorHAnsi" w:eastAsia="Malgun Gothic Semilight" w:hAnsiTheme="majorHAnsi" w:cs="Times New Roman"/>
          <w:b/>
          <w:sz w:val="24"/>
          <w:szCs w:val="24"/>
        </w:rPr>
      </w:pPr>
    </w:p>
    <w:p w:rsidR="00F8558F" w:rsidRPr="00F8558F" w:rsidRDefault="00B705B5" w:rsidP="006B1D91">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KETUA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6B1D91">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6B1D91">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1D4911" w:rsidRPr="001D4911" w:rsidRDefault="001D4911" w:rsidP="001D4911">
            <w:pPr>
              <w:pStyle w:val="ListParagraph"/>
              <w:numPr>
                <w:ilvl w:val="0"/>
                <w:numId w:val="2"/>
              </w:numPr>
              <w:spacing w:line="360" w:lineRule="auto"/>
              <w:jc w:val="both"/>
              <w:rPr>
                <w:rFonts w:asciiTheme="majorHAnsi" w:hAnsiTheme="majorHAnsi" w:cs="Arial"/>
              </w:rPr>
            </w:pPr>
            <w:r w:rsidRPr="001D4911">
              <w:rPr>
                <w:rFonts w:asciiTheme="majorHAnsi" w:hAnsiTheme="majorHAnsi" w:cs="Arial"/>
              </w:rPr>
              <w:t>bahwa dalam rangka meningkatkan pelaksanaan pelaporan yang akurat atas Barang Milik Negara (BMN) di Lingkungan Pengadilan Agama Selayar, maka perlu mengoptimalkan pengelolaan Sistem Informasi dan Manajemen Akuntansi Barang Milik Negara (SIMAKBMN) dengan baik dan benar sesuai peraturan perundang-undangan yang berlaku dibidang Akuntansi dan Pelaporan Barang Milik Negara sehingga dapat memberi nilai manfaat dalam proses penyusunan laporan keuangan pemerintah;</w:t>
            </w:r>
          </w:p>
          <w:p w:rsidR="001D4911" w:rsidRPr="001D4911" w:rsidRDefault="001D4911" w:rsidP="001D4911">
            <w:pPr>
              <w:pStyle w:val="ListParagraph"/>
              <w:numPr>
                <w:ilvl w:val="0"/>
                <w:numId w:val="2"/>
              </w:numPr>
              <w:spacing w:line="360" w:lineRule="auto"/>
              <w:jc w:val="both"/>
              <w:rPr>
                <w:rFonts w:asciiTheme="majorHAnsi" w:hAnsiTheme="majorHAnsi" w:cs="Arial"/>
              </w:rPr>
            </w:pPr>
            <w:r w:rsidRPr="001D4911">
              <w:rPr>
                <w:rFonts w:asciiTheme="majorHAnsi" w:hAnsiTheme="majorHAnsi" w:cs="Arial"/>
              </w:rPr>
              <w:t>bahwa untuk mengimplementasikan tujuan sebagaimana tercantum pada butir a di atas, maka perlu menunjuk Tim Pengelola SIMAKBMN pada Pengadilan Agama Selayar dengan surat keputusan Ketua Pengadilan Agama Selayar;</w:t>
            </w:r>
          </w:p>
          <w:p w:rsidR="00567C74" w:rsidRPr="005D7018" w:rsidRDefault="001D4911" w:rsidP="001D4911">
            <w:pPr>
              <w:pStyle w:val="ListParagraph"/>
              <w:numPr>
                <w:ilvl w:val="0"/>
                <w:numId w:val="2"/>
              </w:numPr>
              <w:spacing w:line="360" w:lineRule="auto"/>
              <w:jc w:val="both"/>
              <w:rPr>
                <w:rFonts w:ascii="Arial" w:hAnsi="Arial"/>
                <w:sz w:val="20"/>
                <w:szCs w:val="20"/>
              </w:rPr>
            </w:pPr>
            <w:r w:rsidRPr="001D4911">
              <w:rPr>
                <w:rFonts w:asciiTheme="majorHAnsi" w:hAnsiTheme="majorHAnsi" w:cs="Arial"/>
              </w:rPr>
              <w:t>bahwa yang tersebut namanya dalam lampiran Surat Keputusan ini dipandang cakap dan mampu untuk melaksanakan tugas tersebut.</w:t>
            </w:r>
          </w:p>
        </w:tc>
      </w:tr>
      <w:tr w:rsidR="00F8558F" w:rsidRPr="00F8558F" w:rsidTr="00806155">
        <w:tc>
          <w:tcPr>
            <w:tcW w:w="1717" w:type="dxa"/>
          </w:tcPr>
          <w:p w:rsidR="00F8558F" w:rsidRPr="00F8558F" w:rsidRDefault="00F8558F" w:rsidP="006B1D91">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6B1D91">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Undang-Undang Nomor 50 Tahun 2009 tentang Perubahan Kedua atas Undang-Undang Nomor 7 Tahun 1989 tentang Peradilan Agama;</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Undang-Undang Nomor 3 Tahun 2009 tentang Perubahan Kedua atas Undang-Undang Nomor 14 Tahun 1985 tentang Mahkamah Agung;</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 xml:space="preserve">Undang-Undang Nomor 14 Tahun 2008 tentang Keterbukaan </w:t>
            </w:r>
            <w:r w:rsidRPr="001D4911">
              <w:rPr>
                <w:rFonts w:asciiTheme="majorHAnsi" w:hAnsiTheme="majorHAnsi" w:cs="Arial"/>
              </w:rPr>
              <w:lastRenderedPageBreak/>
              <w:t>Informasi Publik;</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Undang-Undang Nomor 17 Tahun 2003 tentang Keuangan Negara (Lembaran Negara Republik Indonesia Tahun 2003 Nomor 47, Tambahan Lembaran Negara Republik Indonesia Nomor 4286);</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Undang-Undang Nomor 1 Tahun 2004 tentang Perbendaharaan Negara;</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Undang-Undang Nomor 15 Tahun 2004 tentang Pemeriksaan, Pengelolaan dan Pertanggungjawaban Keuangan Negara (Lembaran Negara Republik Indonesia Tahun 2004 Nomor 66, Tambahan Lembaran Negara Republik Indonesia Nomor 4400);</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Peraturan Pemerintah Nomor 24 Tahun 2005 tentang Standar Akuntansi Pemerintah;</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Peraturan Pemerintah Nomor 6 Tahun 2006 tentang Pengelolaan Barang Milik Negara/Daerah;</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Keputusan Presiden Republik Indonesia Nomor 21 Tahun 2004 tentang Pengalihan Organisasi, administrasi, dan Finansial di Lingkungan Peradilan Umum, dan Peradilan Tata Usaha Negara, serta Peradilan Agama ke Mahkamah Agung Republik Indonesia;</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Peraturan Menteri Keuangan Nomor 171 /PMK.05/2007 tentang Sistem Akuntansi dan Pelaporan Pemerintah Pusat;</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Peraturan Menteri Keuangan RI Nomor 96/PMK.06/2007 tentang Tata Cara Pelaksanaan, Penggunaan, Pemanfaatan, Penghapusan, dan Pemindahtanganan Barang Milik Negara;</w:t>
            </w:r>
          </w:p>
          <w:p w:rsidR="001D4911" w:rsidRPr="001D4911" w:rsidRDefault="001D4911" w:rsidP="001D4911">
            <w:pPr>
              <w:numPr>
                <w:ilvl w:val="0"/>
                <w:numId w:val="38"/>
              </w:numPr>
              <w:spacing w:line="360" w:lineRule="auto"/>
              <w:jc w:val="both"/>
              <w:rPr>
                <w:rFonts w:asciiTheme="majorHAnsi" w:hAnsiTheme="majorHAnsi" w:cs="Arial"/>
              </w:rPr>
            </w:pPr>
            <w:r w:rsidRPr="001D4911">
              <w:rPr>
                <w:rFonts w:asciiTheme="majorHAnsi" w:hAnsiTheme="majorHAnsi" w:cs="Arial"/>
              </w:rPr>
              <w:t>Peraturan Menteri Keuangan RI Nomor 29/PMK.06/2010 tentang Penggolongan dan Kodefikasi Barang Milik Negara;</w:t>
            </w:r>
          </w:p>
          <w:p w:rsidR="007F4177" w:rsidRPr="00806155" w:rsidRDefault="001D4911" w:rsidP="001D4911">
            <w:pPr>
              <w:pStyle w:val="ListParagraph"/>
              <w:numPr>
                <w:ilvl w:val="0"/>
                <w:numId w:val="38"/>
              </w:numPr>
              <w:tabs>
                <w:tab w:val="left" w:pos="1418"/>
                <w:tab w:val="left" w:pos="1701"/>
                <w:tab w:val="left" w:pos="1985"/>
              </w:tabs>
              <w:spacing w:line="360" w:lineRule="auto"/>
              <w:jc w:val="both"/>
              <w:rPr>
                <w:rFonts w:asciiTheme="majorHAnsi" w:eastAsia="Malgun Gothic Semilight" w:hAnsiTheme="majorHAnsi" w:cs="Times New Roman"/>
              </w:rPr>
            </w:pPr>
            <w:r w:rsidRPr="001D4911">
              <w:rPr>
                <w:rFonts w:asciiTheme="majorHAnsi" w:hAnsiTheme="majorHAnsi" w:cs="Arial"/>
              </w:rPr>
              <w:t>Peraturan Menteri Keuangan RI Nomor 120/PMK.06/2007 tentang Penatausahaan Barang Milik Negara;</w:t>
            </w:r>
          </w:p>
        </w:tc>
      </w:tr>
      <w:tr w:rsidR="003A762B" w:rsidRPr="00F8558F" w:rsidTr="005A721B">
        <w:tc>
          <w:tcPr>
            <w:tcW w:w="9003" w:type="dxa"/>
            <w:gridSpan w:val="3"/>
          </w:tcPr>
          <w:p w:rsidR="00C4197C" w:rsidRPr="003A762B" w:rsidRDefault="003A762B" w:rsidP="006B1D91">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lastRenderedPageBreak/>
              <w:t>MEMUTUSKAN</w:t>
            </w:r>
          </w:p>
        </w:tc>
      </w:tr>
      <w:tr w:rsidR="003A762B" w:rsidRPr="00F8558F" w:rsidTr="00806155">
        <w:tc>
          <w:tcPr>
            <w:tcW w:w="1717" w:type="dxa"/>
          </w:tcPr>
          <w:p w:rsidR="003A762B" w:rsidRPr="007F4177" w:rsidRDefault="007F4177" w:rsidP="006B1D91">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6B1D91">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9F7A23" w:rsidRPr="009F7A23" w:rsidRDefault="001D4911" w:rsidP="001D4911">
            <w:pPr>
              <w:spacing w:line="360" w:lineRule="auto"/>
              <w:jc w:val="both"/>
              <w:rPr>
                <w:rFonts w:asciiTheme="majorHAnsi" w:hAnsiTheme="majorHAnsi" w:cs="Arial"/>
                <w:b/>
                <w:bCs/>
                <w:szCs w:val="18"/>
              </w:rPr>
            </w:pPr>
            <w:r w:rsidRPr="001D4911">
              <w:rPr>
                <w:rFonts w:asciiTheme="majorHAnsi" w:hAnsiTheme="majorHAnsi" w:cs="Arial"/>
                <w:b/>
                <w:bCs/>
                <w:szCs w:val="18"/>
              </w:rPr>
              <w:t>SURAT KEPUTUSAN KETUA PENGADILAN AGAMA SELAYAR TENTANG PENUNJUKAN TIM PENGELOLA SISTEM INFORMASI DAN MANAJEMEN AKUNTANSI BARANG MILIK NEGARA (SIMAKBMN) PADA PENGADILAN AGAMA SELAYAR</w:t>
            </w:r>
            <w:r w:rsidR="00566B2C" w:rsidRPr="00566B2C">
              <w:rPr>
                <w:rFonts w:asciiTheme="majorHAnsi" w:hAnsiTheme="majorHAnsi" w:cs="Arial"/>
                <w:b/>
                <w:bCs/>
                <w:szCs w:val="18"/>
              </w:rPr>
              <w:t xml:space="preserve"> TAHUN 20</w:t>
            </w:r>
            <w:r w:rsidR="00566B2C">
              <w:rPr>
                <w:rFonts w:asciiTheme="majorHAnsi" w:hAnsiTheme="majorHAnsi" w:cs="Arial"/>
                <w:b/>
                <w:bCs/>
                <w:szCs w:val="18"/>
              </w:rPr>
              <w:t>20</w:t>
            </w:r>
            <w:r w:rsidR="00566B2C" w:rsidRPr="00566B2C">
              <w:rPr>
                <w:rFonts w:asciiTheme="majorHAnsi" w:hAnsiTheme="majorHAnsi" w:cs="Arial"/>
                <w:b/>
                <w:bCs/>
                <w:szCs w:val="18"/>
              </w:rPr>
              <w:t>.</w:t>
            </w:r>
          </w:p>
        </w:tc>
      </w:tr>
      <w:tr w:rsidR="007F4177" w:rsidRPr="00F8558F" w:rsidTr="00806155">
        <w:tc>
          <w:tcPr>
            <w:tcW w:w="1717" w:type="dxa"/>
          </w:tcPr>
          <w:p w:rsidR="007F4177" w:rsidRPr="007F4177" w:rsidRDefault="007F4177" w:rsidP="006B1D91">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6B1D91">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566B2C" w:rsidRDefault="00B705B5" w:rsidP="006B1D91">
            <w:pPr>
              <w:spacing w:line="360" w:lineRule="auto"/>
              <w:jc w:val="both"/>
              <w:rPr>
                <w:rFonts w:asciiTheme="majorHAnsi" w:hAnsiTheme="majorHAnsi"/>
              </w:rPr>
            </w:pPr>
            <w:r w:rsidRPr="00B705B5">
              <w:rPr>
                <w:rFonts w:asciiTheme="majorHAnsi" w:hAnsiTheme="majorHAnsi" w:cs="Arial"/>
                <w:szCs w:val="18"/>
              </w:rPr>
              <w:t>Menunjuk Tim Pengelola Sistem Informasi dan Manajemen Akuntansi Barang Milik Negara (SIMAKBMN) pada Pengadilan Agama Selayar sebagaimana tercantum dalam lampiran Surat Keputusan ini.</w:t>
            </w:r>
          </w:p>
        </w:tc>
      </w:tr>
      <w:tr w:rsidR="00566B2C" w:rsidRPr="00F8558F" w:rsidTr="00806155">
        <w:tc>
          <w:tcPr>
            <w:tcW w:w="1717" w:type="dxa"/>
          </w:tcPr>
          <w:p w:rsidR="00566B2C" w:rsidRDefault="00566B2C" w:rsidP="006B1D91">
            <w:pPr>
              <w:spacing w:line="360" w:lineRule="auto"/>
              <w:rPr>
                <w:rFonts w:asciiTheme="majorHAnsi" w:eastAsia="Malgun Gothic Semilight" w:hAnsiTheme="majorHAnsi" w:cs="Times New Roman"/>
              </w:rPr>
            </w:pPr>
            <w:r>
              <w:rPr>
                <w:rFonts w:asciiTheme="majorHAnsi" w:eastAsia="Malgun Gothic Semilight" w:hAnsiTheme="majorHAnsi" w:cs="Times New Roman"/>
              </w:rPr>
              <w:t>K</w:t>
            </w:r>
            <w:r w:rsidR="00D3289F">
              <w:rPr>
                <w:rFonts w:asciiTheme="majorHAnsi" w:eastAsia="Malgun Gothic Semilight" w:hAnsiTheme="majorHAnsi" w:cs="Times New Roman"/>
              </w:rPr>
              <w:t>edua</w:t>
            </w:r>
          </w:p>
        </w:tc>
        <w:tc>
          <w:tcPr>
            <w:tcW w:w="282" w:type="dxa"/>
          </w:tcPr>
          <w:p w:rsidR="00566B2C" w:rsidRDefault="00566B2C" w:rsidP="006B1D91">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566B2C" w:rsidRDefault="00B705B5" w:rsidP="006B1D91">
            <w:pPr>
              <w:spacing w:line="360" w:lineRule="auto"/>
              <w:jc w:val="both"/>
              <w:rPr>
                <w:rFonts w:asciiTheme="majorHAnsi" w:hAnsiTheme="majorHAnsi" w:cs="Arial"/>
                <w:szCs w:val="18"/>
              </w:rPr>
            </w:pPr>
            <w:r w:rsidRPr="00B705B5">
              <w:rPr>
                <w:rFonts w:asciiTheme="majorHAnsi" w:hAnsiTheme="majorHAnsi" w:cs="Arial"/>
                <w:szCs w:val="18"/>
              </w:rPr>
              <w:t xml:space="preserve">Kepada Tim Pengelola SIMAKBMN yang telah ditunjuk tersebut </w:t>
            </w:r>
            <w:r w:rsidRPr="00B705B5">
              <w:rPr>
                <w:rFonts w:asciiTheme="majorHAnsi" w:hAnsiTheme="majorHAnsi" w:cs="Arial"/>
                <w:szCs w:val="18"/>
              </w:rPr>
              <w:lastRenderedPageBreak/>
              <w:t>diperintahkan untuk melaksanakan tugas dengan penuh rasa tanggung jawab sesuai Peraturan Perundang-Undangan yang terkait.</w:t>
            </w:r>
          </w:p>
        </w:tc>
      </w:tr>
      <w:tr w:rsidR="006B1D91" w:rsidRPr="00F8558F" w:rsidTr="00806155">
        <w:tc>
          <w:tcPr>
            <w:tcW w:w="1717" w:type="dxa"/>
          </w:tcPr>
          <w:p w:rsidR="006B1D91" w:rsidRDefault="006B1D91" w:rsidP="006B1D91">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Ketiga</w:t>
            </w:r>
          </w:p>
        </w:tc>
        <w:tc>
          <w:tcPr>
            <w:tcW w:w="282" w:type="dxa"/>
          </w:tcPr>
          <w:p w:rsidR="006B1D91" w:rsidRDefault="006B1D91" w:rsidP="006B1D91">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6B1D91" w:rsidRPr="006B1D91" w:rsidRDefault="00B705B5" w:rsidP="006B1D91">
            <w:pPr>
              <w:spacing w:line="360" w:lineRule="auto"/>
              <w:jc w:val="both"/>
              <w:rPr>
                <w:rFonts w:asciiTheme="majorHAnsi" w:hAnsiTheme="majorHAnsi" w:cs="Arial"/>
                <w:szCs w:val="18"/>
              </w:rPr>
            </w:pPr>
            <w:r w:rsidRPr="00B705B5">
              <w:rPr>
                <w:rFonts w:asciiTheme="majorHAnsi" w:hAnsiTheme="majorHAnsi" w:cs="Arial"/>
                <w:szCs w:val="18"/>
              </w:rPr>
              <w:t>Surat Keputusan ini berlaku sejak tanggal ditetapkan dengan ketentuan apabila dikemudian hari terdapat kekeliruan di dalamnya akan diadakan perbaikan sebagaimana mestinya.</w:t>
            </w:r>
          </w:p>
        </w:tc>
      </w:tr>
    </w:tbl>
    <w:p w:rsidR="005D7018" w:rsidRDefault="005D7018" w:rsidP="006B1D91">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CA5B91" w:rsidP="006B1D91">
            <w:pPr>
              <w:jc w:val="both"/>
              <w:rPr>
                <w:rFonts w:asciiTheme="majorHAnsi" w:hAnsiTheme="majorHAnsi"/>
              </w:rPr>
            </w:pPr>
            <w:r>
              <w:rPr>
                <w:rFonts w:asciiTheme="majorHAnsi" w:eastAsia="Malgun Gothic Semilight" w:hAnsiTheme="majorHAnsi" w:cs="Times New Roman"/>
                <w:noProof/>
                <w:lang w:eastAsia="id-ID"/>
              </w:rPr>
              <w:drawing>
                <wp:anchor distT="0" distB="0" distL="114300" distR="114300" simplePos="0" relativeHeight="251658240" behindDoc="0" locked="0" layoutInCell="1" allowOverlap="1" wp14:anchorId="161D5937" wp14:editId="7EF45729">
                  <wp:simplePos x="0" y="0"/>
                  <wp:positionH relativeFrom="column">
                    <wp:posOffset>54610</wp:posOffset>
                  </wp:positionH>
                  <wp:positionV relativeFrom="paragraph">
                    <wp:posOffset>129540</wp:posOffset>
                  </wp:positionV>
                  <wp:extent cx="1742440" cy="1105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d.rahma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742440" cy="1105535"/>
                          </a:xfrm>
                          <a:prstGeom prst="rect">
                            <a:avLst/>
                          </a:prstGeom>
                        </pic:spPr>
                      </pic:pic>
                    </a:graphicData>
                  </a:graphic>
                  <wp14:sizeRelH relativeFrom="page">
                    <wp14:pctWidth>0</wp14:pctWidth>
                  </wp14:sizeRelH>
                  <wp14:sizeRelV relativeFrom="page">
                    <wp14:pctHeight>0</wp14:pctHeight>
                  </wp14:sizeRelV>
                </wp:anchor>
              </w:drawing>
            </w:r>
            <w:r w:rsidR="007F4177" w:rsidRPr="00F975A6">
              <w:rPr>
                <w:rFonts w:asciiTheme="majorHAnsi" w:hAnsiTheme="majorHAnsi"/>
              </w:rPr>
              <w:t>Ditetapkan di</w:t>
            </w:r>
          </w:p>
        </w:tc>
        <w:tc>
          <w:tcPr>
            <w:tcW w:w="284" w:type="dxa"/>
          </w:tcPr>
          <w:p w:rsidR="007F4177" w:rsidRPr="00F975A6" w:rsidRDefault="007F4177" w:rsidP="006B1D91">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6B1D91">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6B1D91">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6B1D91">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6B1D91">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F22E33" w:rsidP="006B1D91">
            <w:pPr>
              <w:jc w:val="both"/>
              <w:rPr>
                <w:rFonts w:asciiTheme="majorHAnsi" w:hAnsiTheme="majorHAnsi"/>
              </w:rPr>
            </w:pPr>
            <w:r>
              <w:rPr>
                <w:rFonts w:asciiTheme="majorHAnsi" w:hAnsiTheme="majorHAnsi"/>
              </w:rPr>
              <w:t>Ketua</w:t>
            </w:r>
            <w:r w:rsidR="007F4177" w:rsidRPr="00F975A6">
              <w:rPr>
                <w:rFonts w:asciiTheme="majorHAnsi" w:hAnsiTheme="majorHAnsi"/>
              </w:rPr>
              <w:t>,</w:t>
            </w:r>
          </w:p>
          <w:p w:rsidR="007F4177" w:rsidRPr="00F975A6" w:rsidRDefault="007F4177" w:rsidP="006B1D91">
            <w:pPr>
              <w:jc w:val="both"/>
              <w:rPr>
                <w:rFonts w:asciiTheme="majorHAnsi" w:hAnsiTheme="majorHAnsi"/>
                <w:b/>
                <w:u w:val="single"/>
              </w:rPr>
            </w:pPr>
          </w:p>
          <w:p w:rsidR="007F4177" w:rsidRPr="00F975A6" w:rsidRDefault="007F4177" w:rsidP="006B1D91">
            <w:pPr>
              <w:jc w:val="both"/>
              <w:rPr>
                <w:rFonts w:asciiTheme="majorHAnsi" w:hAnsiTheme="majorHAnsi"/>
                <w:b/>
                <w:u w:val="single"/>
              </w:rPr>
            </w:pPr>
          </w:p>
          <w:p w:rsidR="007F4177" w:rsidRPr="00F975A6" w:rsidRDefault="007F4177" w:rsidP="006B1D91">
            <w:pPr>
              <w:jc w:val="both"/>
              <w:rPr>
                <w:rFonts w:asciiTheme="majorHAnsi" w:hAnsiTheme="majorHAnsi"/>
                <w:b/>
                <w:u w:val="single"/>
              </w:rPr>
            </w:pPr>
          </w:p>
          <w:p w:rsidR="007F4177" w:rsidRPr="00F975A6" w:rsidRDefault="007F4177" w:rsidP="006B1D91">
            <w:pPr>
              <w:jc w:val="both"/>
              <w:rPr>
                <w:rFonts w:asciiTheme="majorHAnsi" w:hAnsiTheme="majorHAnsi"/>
                <w:b/>
                <w:u w:val="single"/>
              </w:rPr>
            </w:pPr>
          </w:p>
          <w:p w:rsidR="007F4177" w:rsidRPr="00F975A6" w:rsidRDefault="00F22E33" w:rsidP="006B1D91">
            <w:pPr>
              <w:jc w:val="both"/>
              <w:rPr>
                <w:rFonts w:asciiTheme="majorHAnsi" w:hAnsiTheme="majorHAnsi"/>
                <w:b/>
                <w:u w:val="single"/>
              </w:rPr>
            </w:pPr>
            <w:r>
              <w:rPr>
                <w:rFonts w:asciiTheme="majorHAnsi" w:hAnsiTheme="majorHAnsi"/>
                <w:b/>
                <w:u w:val="single"/>
              </w:rPr>
              <w:t>Abdul Rahman Salam</w:t>
            </w:r>
            <w:r w:rsidR="005D7018">
              <w:rPr>
                <w:rFonts w:asciiTheme="majorHAnsi" w:hAnsiTheme="majorHAnsi"/>
                <w:b/>
                <w:u w:val="single"/>
              </w:rPr>
              <w:t>, S.</w:t>
            </w:r>
            <w:r>
              <w:rPr>
                <w:rFonts w:asciiTheme="majorHAnsi" w:hAnsiTheme="majorHAnsi"/>
                <w:b/>
                <w:u w:val="single"/>
              </w:rPr>
              <w:t>Ag</w:t>
            </w:r>
            <w:r w:rsidR="005D7018">
              <w:rPr>
                <w:rFonts w:asciiTheme="majorHAnsi" w:hAnsiTheme="majorHAnsi"/>
                <w:b/>
                <w:u w:val="single"/>
              </w:rPr>
              <w:t>.</w:t>
            </w:r>
            <w:r>
              <w:rPr>
                <w:rFonts w:asciiTheme="majorHAnsi" w:hAnsiTheme="majorHAnsi"/>
                <w:b/>
                <w:u w:val="single"/>
              </w:rPr>
              <w:t>, M</w:t>
            </w:r>
            <w:r w:rsidR="005D7018">
              <w:rPr>
                <w:rFonts w:asciiTheme="majorHAnsi" w:hAnsiTheme="majorHAnsi"/>
                <w:b/>
                <w:u w:val="single"/>
              </w:rPr>
              <w:t>.</w:t>
            </w:r>
            <w:r>
              <w:rPr>
                <w:rFonts w:asciiTheme="majorHAnsi" w:hAnsiTheme="majorHAnsi"/>
                <w:b/>
                <w:u w:val="single"/>
              </w:rPr>
              <w:t>H.</w:t>
            </w:r>
          </w:p>
          <w:p w:rsidR="007F4177" w:rsidRPr="00C95C25" w:rsidRDefault="007F4177" w:rsidP="006B1D91">
            <w:pPr>
              <w:jc w:val="both"/>
              <w:rPr>
                <w:rFonts w:asciiTheme="majorHAnsi" w:hAnsiTheme="majorHAnsi"/>
              </w:rPr>
            </w:pPr>
            <w:r w:rsidRPr="00F975A6">
              <w:rPr>
                <w:rFonts w:asciiTheme="majorHAnsi" w:hAnsiTheme="majorHAnsi"/>
              </w:rPr>
              <w:t xml:space="preserve">NIP. </w:t>
            </w:r>
            <w:r w:rsidR="00F22E33" w:rsidRPr="00F22E33">
              <w:rPr>
                <w:rFonts w:asciiTheme="majorHAnsi" w:hAnsiTheme="majorHAnsi"/>
              </w:rPr>
              <w:t>19730212 199903 1 002</w:t>
            </w:r>
          </w:p>
        </w:tc>
      </w:tr>
    </w:tbl>
    <w:p w:rsidR="00B705B5" w:rsidRDefault="00B705B5" w:rsidP="006B1D91">
      <w:pPr>
        <w:autoSpaceDE w:val="0"/>
        <w:autoSpaceDN w:val="0"/>
        <w:adjustRightInd w:val="0"/>
        <w:spacing w:after="0" w:line="360" w:lineRule="auto"/>
        <w:rPr>
          <w:rFonts w:asciiTheme="majorHAnsi" w:hAnsiTheme="majorHAnsi" w:cs="Times New Roman"/>
        </w:rPr>
      </w:pPr>
    </w:p>
    <w:p w:rsidR="00B705B5" w:rsidRDefault="00B705B5">
      <w:pPr>
        <w:rPr>
          <w:rFonts w:asciiTheme="majorHAnsi" w:hAnsiTheme="majorHAnsi" w:cs="Times New Roman"/>
        </w:rPr>
      </w:pPr>
      <w:r>
        <w:rPr>
          <w:rFonts w:asciiTheme="majorHAnsi" w:hAnsiTheme="majorHAnsi" w:cs="Times New Roman"/>
        </w:rPr>
        <w:br w:type="page"/>
      </w:r>
    </w:p>
    <w:tbl>
      <w:tblPr>
        <w:tblStyle w:val="TableGrid1"/>
        <w:tblW w:w="4962" w:type="dxa"/>
        <w:tblInd w:w="393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993"/>
        <w:gridCol w:w="284"/>
        <w:gridCol w:w="3685"/>
      </w:tblGrid>
      <w:tr w:rsidR="00B705B5" w:rsidRPr="00146D16" w:rsidTr="00BF77D2">
        <w:tc>
          <w:tcPr>
            <w:tcW w:w="993" w:type="dxa"/>
          </w:tcPr>
          <w:p w:rsidR="00B705B5" w:rsidRPr="003B3418" w:rsidRDefault="00B705B5" w:rsidP="00D02943">
            <w:pPr>
              <w:rPr>
                <w:rFonts w:asciiTheme="majorHAnsi" w:hAnsiTheme="majorHAnsi"/>
                <w:sz w:val="16"/>
                <w:szCs w:val="20"/>
              </w:rPr>
            </w:pPr>
            <w:r w:rsidRPr="003B3418">
              <w:rPr>
                <w:rFonts w:asciiTheme="majorHAnsi" w:hAnsiTheme="majorHAnsi"/>
                <w:sz w:val="16"/>
                <w:szCs w:val="20"/>
              </w:rPr>
              <w:lastRenderedPageBreak/>
              <w:t>Lampiran</w:t>
            </w:r>
          </w:p>
        </w:tc>
        <w:tc>
          <w:tcPr>
            <w:tcW w:w="284" w:type="dxa"/>
          </w:tcPr>
          <w:p w:rsidR="00B705B5" w:rsidRPr="003B3418" w:rsidRDefault="00B705B5" w:rsidP="00D02943">
            <w:pPr>
              <w:rPr>
                <w:rFonts w:asciiTheme="majorHAnsi" w:hAnsiTheme="majorHAnsi"/>
                <w:sz w:val="16"/>
                <w:szCs w:val="20"/>
              </w:rPr>
            </w:pPr>
            <w:r w:rsidRPr="003B3418">
              <w:rPr>
                <w:rFonts w:asciiTheme="majorHAnsi" w:hAnsiTheme="majorHAnsi"/>
                <w:sz w:val="16"/>
                <w:szCs w:val="20"/>
              </w:rPr>
              <w:t>:</w:t>
            </w:r>
          </w:p>
        </w:tc>
        <w:tc>
          <w:tcPr>
            <w:tcW w:w="3685" w:type="dxa"/>
          </w:tcPr>
          <w:p w:rsidR="00B705B5" w:rsidRPr="003B3418" w:rsidRDefault="00B705B5" w:rsidP="00D02943">
            <w:pPr>
              <w:rPr>
                <w:rFonts w:asciiTheme="majorHAnsi" w:hAnsiTheme="majorHAnsi"/>
                <w:sz w:val="16"/>
                <w:szCs w:val="20"/>
              </w:rPr>
            </w:pPr>
            <w:r w:rsidRPr="003B3418">
              <w:rPr>
                <w:rFonts w:asciiTheme="majorHAnsi" w:hAnsiTheme="majorHAnsi"/>
                <w:sz w:val="16"/>
                <w:szCs w:val="20"/>
              </w:rPr>
              <w:t>Surat Keputusan Ketua Pengadilan Agama Selayar</w:t>
            </w:r>
          </w:p>
        </w:tc>
      </w:tr>
      <w:tr w:rsidR="00B705B5" w:rsidRPr="00146D16" w:rsidTr="00BF77D2">
        <w:tc>
          <w:tcPr>
            <w:tcW w:w="993" w:type="dxa"/>
          </w:tcPr>
          <w:p w:rsidR="00B705B5" w:rsidRPr="003B3418" w:rsidRDefault="00B705B5" w:rsidP="00D02943">
            <w:pPr>
              <w:rPr>
                <w:rFonts w:asciiTheme="majorHAnsi" w:hAnsiTheme="majorHAnsi"/>
                <w:sz w:val="16"/>
                <w:szCs w:val="20"/>
              </w:rPr>
            </w:pPr>
            <w:r w:rsidRPr="003B3418">
              <w:rPr>
                <w:rFonts w:asciiTheme="majorHAnsi" w:hAnsiTheme="majorHAnsi"/>
                <w:sz w:val="16"/>
                <w:szCs w:val="20"/>
              </w:rPr>
              <w:t xml:space="preserve">Nomor </w:t>
            </w:r>
          </w:p>
        </w:tc>
        <w:tc>
          <w:tcPr>
            <w:tcW w:w="284" w:type="dxa"/>
          </w:tcPr>
          <w:p w:rsidR="00B705B5" w:rsidRPr="003B3418" w:rsidRDefault="00B705B5" w:rsidP="00D02943">
            <w:pPr>
              <w:rPr>
                <w:rFonts w:asciiTheme="majorHAnsi" w:hAnsiTheme="majorHAnsi"/>
                <w:sz w:val="16"/>
                <w:szCs w:val="20"/>
              </w:rPr>
            </w:pPr>
            <w:r w:rsidRPr="003B3418">
              <w:rPr>
                <w:rFonts w:asciiTheme="majorHAnsi" w:hAnsiTheme="majorHAnsi"/>
                <w:sz w:val="16"/>
                <w:szCs w:val="20"/>
              </w:rPr>
              <w:t>:</w:t>
            </w:r>
          </w:p>
        </w:tc>
        <w:tc>
          <w:tcPr>
            <w:tcW w:w="3685" w:type="dxa"/>
          </w:tcPr>
          <w:p w:rsidR="00B705B5" w:rsidRPr="003B3418" w:rsidRDefault="00B705B5" w:rsidP="00B705B5">
            <w:pPr>
              <w:rPr>
                <w:rFonts w:asciiTheme="majorHAnsi" w:hAnsiTheme="majorHAnsi"/>
                <w:sz w:val="16"/>
                <w:szCs w:val="20"/>
              </w:rPr>
            </w:pPr>
            <w:r w:rsidRPr="003B3418">
              <w:rPr>
                <w:rFonts w:asciiTheme="majorHAnsi" w:hAnsiTheme="majorHAnsi"/>
                <w:sz w:val="16"/>
                <w:szCs w:val="20"/>
              </w:rPr>
              <w:t>W2</w:t>
            </w:r>
            <w:r>
              <w:rPr>
                <w:rFonts w:asciiTheme="majorHAnsi" w:hAnsiTheme="majorHAnsi"/>
                <w:sz w:val="16"/>
                <w:szCs w:val="20"/>
              </w:rPr>
              <w:t>0</w:t>
            </w:r>
            <w:r w:rsidRPr="003B3418">
              <w:rPr>
                <w:rFonts w:asciiTheme="majorHAnsi" w:hAnsiTheme="majorHAnsi"/>
                <w:sz w:val="16"/>
                <w:szCs w:val="20"/>
              </w:rPr>
              <w:t>-A</w:t>
            </w:r>
            <w:r>
              <w:rPr>
                <w:rFonts w:asciiTheme="majorHAnsi" w:hAnsiTheme="majorHAnsi"/>
                <w:sz w:val="16"/>
                <w:szCs w:val="20"/>
              </w:rPr>
              <w:t>17</w:t>
            </w:r>
            <w:r w:rsidRPr="003B3418">
              <w:rPr>
                <w:rFonts w:asciiTheme="majorHAnsi" w:hAnsiTheme="majorHAnsi"/>
                <w:sz w:val="16"/>
                <w:szCs w:val="20"/>
              </w:rPr>
              <w:t>/SK</w:t>
            </w:r>
            <w:r>
              <w:rPr>
                <w:rFonts w:asciiTheme="majorHAnsi" w:hAnsiTheme="majorHAnsi"/>
                <w:sz w:val="16"/>
                <w:szCs w:val="20"/>
              </w:rPr>
              <w:t>.022</w:t>
            </w:r>
            <w:r w:rsidRPr="003B3418">
              <w:rPr>
                <w:rFonts w:asciiTheme="majorHAnsi" w:hAnsiTheme="majorHAnsi"/>
                <w:sz w:val="16"/>
                <w:szCs w:val="20"/>
              </w:rPr>
              <w:t>/</w:t>
            </w:r>
            <w:r>
              <w:rPr>
                <w:rFonts w:asciiTheme="majorHAnsi" w:hAnsiTheme="majorHAnsi"/>
                <w:sz w:val="16"/>
                <w:szCs w:val="20"/>
              </w:rPr>
              <w:t>PL</w:t>
            </w:r>
            <w:r w:rsidRPr="003B3418">
              <w:rPr>
                <w:rFonts w:asciiTheme="majorHAnsi" w:hAnsiTheme="majorHAnsi"/>
                <w:sz w:val="16"/>
                <w:szCs w:val="20"/>
              </w:rPr>
              <w:t>/I/2020</w:t>
            </w:r>
          </w:p>
        </w:tc>
      </w:tr>
      <w:tr w:rsidR="00B705B5" w:rsidRPr="00146D16" w:rsidTr="00BF77D2">
        <w:tc>
          <w:tcPr>
            <w:tcW w:w="993" w:type="dxa"/>
          </w:tcPr>
          <w:p w:rsidR="00B705B5" w:rsidRPr="003B3418" w:rsidRDefault="00B705B5" w:rsidP="00D02943">
            <w:pPr>
              <w:rPr>
                <w:rFonts w:asciiTheme="majorHAnsi" w:hAnsiTheme="majorHAnsi"/>
                <w:sz w:val="16"/>
                <w:szCs w:val="20"/>
              </w:rPr>
            </w:pPr>
            <w:r w:rsidRPr="003B3418">
              <w:rPr>
                <w:rFonts w:asciiTheme="majorHAnsi" w:hAnsiTheme="majorHAnsi"/>
                <w:sz w:val="16"/>
                <w:szCs w:val="20"/>
              </w:rPr>
              <w:t>Tanggal</w:t>
            </w:r>
          </w:p>
        </w:tc>
        <w:tc>
          <w:tcPr>
            <w:tcW w:w="284" w:type="dxa"/>
          </w:tcPr>
          <w:p w:rsidR="00B705B5" w:rsidRPr="003B3418" w:rsidRDefault="00B705B5" w:rsidP="00D02943">
            <w:pPr>
              <w:rPr>
                <w:rFonts w:asciiTheme="majorHAnsi" w:hAnsiTheme="majorHAnsi"/>
                <w:sz w:val="16"/>
                <w:szCs w:val="20"/>
              </w:rPr>
            </w:pPr>
            <w:r w:rsidRPr="003B3418">
              <w:rPr>
                <w:rFonts w:asciiTheme="majorHAnsi" w:hAnsiTheme="majorHAnsi"/>
                <w:sz w:val="16"/>
                <w:szCs w:val="20"/>
              </w:rPr>
              <w:t>:</w:t>
            </w:r>
          </w:p>
        </w:tc>
        <w:tc>
          <w:tcPr>
            <w:tcW w:w="3685" w:type="dxa"/>
          </w:tcPr>
          <w:p w:rsidR="00B705B5" w:rsidRPr="003B3418" w:rsidRDefault="00B705B5" w:rsidP="00D02943">
            <w:pPr>
              <w:rPr>
                <w:rFonts w:asciiTheme="majorHAnsi" w:hAnsiTheme="majorHAnsi"/>
                <w:sz w:val="16"/>
                <w:szCs w:val="20"/>
              </w:rPr>
            </w:pPr>
            <w:r w:rsidRPr="003B3418">
              <w:rPr>
                <w:rFonts w:asciiTheme="majorHAnsi" w:hAnsiTheme="majorHAnsi"/>
                <w:sz w:val="16"/>
                <w:szCs w:val="20"/>
              </w:rPr>
              <w:t>02 Januari 2020</w:t>
            </w:r>
          </w:p>
        </w:tc>
      </w:tr>
    </w:tbl>
    <w:p w:rsidR="00B705B5" w:rsidRDefault="00B705B5" w:rsidP="00B705B5">
      <w:pPr>
        <w:spacing w:line="240" w:lineRule="auto"/>
        <w:rPr>
          <w:rFonts w:asciiTheme="majorHAnsi" w:eastAsia="Malgun Gothic Semilight" w:hAnsiTheme="majorHAnsi" w:cs="Malgun Gothic Semilight"/>
        </w:rPr>
      </w:pPr>
    </w:p>
    <w:p w:rsidR="00B705B5" w:rsidRPr="00B705B5" w:rsidRDefault="00B705B5" w:rsidP="00B705B5">
      <w:pPr>
        <w:spacing w:after="120" w:line="240" w:lineRule="auto"/>
        <w:jc w:val="center"/>
        <w:rPr>
          <w:rFonts w:asciiTheme="majorHAnsi" w:hAnsiTheme="majorHAnsi"/>
          <w:b/>
        </w:rPr>
      </w:pPr>
      <w:r w:rsidRPr="00B705B5">
        <w:rPr>
          <w:rFonts w:asciiTheme="majorHAnsi" w:hAnsiTheme="majorHAnsi"/>
          <w:b/>
        </w:rPr>
        <w:t xml:space="preserve">PENUNJUKAN TIM PENGELOLA SISTEM INFORMASI DAN MANAJEMEN </w:t>
      </w:r>
    </w:p>
    <w:p w:rsidR="00B705B5" w:rsidRPr="00B705B5" w:rsidRDefault="00B705B5" w:rsidP="00B705B5">
      <w:pPr>
        <w:spacing w:after="120" w:line="240" w:lineRule="auto"/>
        <w:jc w:val="center"/>
        <w:rPr>
          <w:rFonts w:asciiTheme="majorHAnsi" w:hAnsiTheme="majorHAnsi"/>
          <w:b/>
        </w:rPr>
      </w:pPr>
      <w:r w:rsidRPr="00B705B5">
        <w:rPr>
          <w:rFonts w:asciiTheme="majorHAnsi" w:hAnsiTheme="majorHAnsi"/>
          <w:b/>
        </w:rPr>
        <w:t>AKUNTANSI BARANG MILIK NEGARA (SIMAKBMN)</w:t>
      </w:r>
    </w:p>
    <w:p w:rsidR="00B705B5" w:rsidRDefault="00B705B5" w:rsidP="00B705B5">
      <w:pPr>
        <w:spacing w:after="120" w:line="240" w:lineRule="auto"/>
        <w:jc w:val="center"/>
        <w:rPr>
          <w:rFonts w:asciiTheme="majorHAnsi" w:hAnsiTheme="majorHAnsi"/>
          <w:b/>
        </w:rPr>
      </w:pPr>
      <w:r w:rsidRPr="00B705B5">
        <w:rPr>
          <w:rFonts w:asciiTheme="majorHAnsi" w:hAnsiTheme="majorHAnsi"/>
          <w:b/>
        </w:rPr>
        <w:t xml:space="preserve">  PADA PENGADILAN AGAMA SELAYAR</w:t>
      </w:r>
    </w:p>
    <w:p w:rsidR="00BF77D2" w:rsidRPr="00B109D0" w:rsidRDefault="00BF77D2" w:rsidP="00B705B5">
      <w:pPr>
        <w:spacing w:after="120" w:line="240" w:lineRule="auto"/>
        <w:jc w:val="center"/>
        <w:rPr>
          <w:rFonts w:asciiTheme="majorHAnsi" w:hAnsiTheme="majorHAnsi"/>
          <w:b/>
        </w:rPr>
      </w:pPr>
    </w:p>
    <w:tbl>
      <w:tblPr>
        <w:tblW w:w="85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411"/>
        <w:gridCol w:w="2126"/>
        <w:gridCol w:w="2409"/>
      </w:tblGrid>
      <w:tr w:rsidR="00B705B5" w:rsidRPr="00B109D0" w:rsidTr="00BF77D2">
        <w:tc>
          <w:tcPr>
            <w:tcW w:w="558" w:type="dxa"/>
            <w:vMerge w:val="restart"/>
            <w:vAlign w:val="center"/>
          </w:tcPr>
          <w:p w:rsidR="00B705B5" w:rsidRPr="00B109D0" w:rsidRDefault="00B705B5" w:rsidP="00D02943">
            <w:pPr>
              <w:jc w:val="center"/>
              <w:rPr>
                <w:rFonts w:asciiTheme="majorHAnsi" w:hAnsiTheme="majorHAnsi" w:cs="Arial"/>
                <w:b/>
                <w:bCs/>
                <w:lang w:val="nb-NO"/>
              </w:rPr>
            </w:pPr>
            <w:r w:rsidRPr="00B109D0">
              <w:rPr>
                <w:rFonts w:asciiTheme="majorHAnsi" w:hAnsiTheme="majorHAnsi" w:cs="Arial"/>
                <w:b/>
                <w:bCs/>
                <w:lang w:val="nb-NO"/>
              </w:rPr>
              <w:t>No</w:t>
            </w:r>
          </w:p>
        </w:tc>
        <w:tc>
          <w:tcPr>
            <w:tcW w:w="3411" w:type="dxa"/>
            <w:vMerge w:val="restart"/>
            <w:vAlign w:val="center"/>
          </w:tcPr>
          <w:p w:rsidR="00B705B5" w:rsidRPr="00B109D0" w:rsidRDefault="00B705B5" w:rsidP="00D02943">
            <w:pPr>
              <w:jc w:val="center"/>
              <w:rPr>
                <w:rFonts w:asciiTheme="majorHAnsi" w:hAnsiTheme="majorHAnsi" w:cs="Arial"/>
                <w:b/>
                <w:bCs/>
                <w:lang w:val="nb-NO"/>
              </w:rPr>
            </w:pPr>
            <w:r w:rsidRPr="00B109D0">
              <w:rPr>
                <w:rFonts w:asciiTheme="majorHAnsi" w:hAnsiTheme="majorHAnsi" w:cs="Arial"/>
                <w:b/>
                <w:bCs/>
                <w:lang w:val="nb-NO"/>
              </w:rPr>
              <w:t xml:space="preserve">Nama </w:t>
            </w:r>
          </w:p>
        </w:tc>
        <w:tc>
          <w:tcPr>
            <w:tcW w:w="4535" w:type="dxa"/>
            <w:gridSpan w:val="2"/>
            <w:vAlign w:val="center"/>
          </w:tcPr>
          <w:p w:rsidR="00B705B5" w:rsidRPr="00B109D0" w:rsidRDefault="00B705B5" w:rsidP="00D02943">
            <w:pPr>
              <w:jc w:val="center"/>
              <w:rPr>
                <w:rFonts w:asciiTheme="majorHAnsi" w:hAnsiTheme="majorHAnsi" w:cs="Arial"/>
                <w:b/>
                <w:bCs/>
                <w:lang w:val="nb-NO"/>
              </w:rPr>
            </w:pPr>
            <w:r w:rsidRPr="00B109D0">
              <w:rPr>
                <w:rFonts w:asciiTheme="majorHAnsi" w:hAnsiTheme="majorHAnsi" w:cs="Arial"/>
                <w:b/>
                <w:bCs/>
                <w:lang w:val="nb-NO"/>
              </w:rPr>
              <w:t>Jabatan</w:t>
            </w:r>
          </w:p>
        </w:tc>
      </w:tr>
      <w:tr w:rsidR="00B705B5" w:rsidRPr="00B109D0" w:rsidTr="00BF77D2">
        <w:tc>
          <w:tcPr>
            <w:tcW w:w="558" w:type="dxa"/>
            <w:vMerge/>
            <w:vAlign w:val="center"/>
          </w:tcPr>
          <w:p w:rsidR="00B705B5" w:rsidRPr="00B109D0" w:rsidRDefault="00B705B5" w:rsidP="00D02943">
            <w:pPr>
              <w:jc w:val="center"/>
              <w:rPr>
                <w:rFonts w:asciiTheme="majorHAnsi" w:hAnsiTheme="majorHAnsi" w:cs="Arial"/>
                <w:b/>
                <w:bCs/>
                <w:lang w:val="nb-NO"/>
              </w:rPr>
            </w:pPr>
          </w:p>
        </w:tc>
        <w:tc>
          <w:tcPr>
            <w:tcW w:w="3411" w:type="dxa"/>
            <w:vMerge/>
            <w:vAlign w:val="center"/>
          </w:tcPr>
          <w:p w:rsidR="00B705B5" w:rsidRPr="00B109D0" w:rsidRDefault="00B705B5" w:rsidP="00D02943">
            <w:pPr>
              <w:jc w:val="center"/>
              <w:rPr>
                <w:rFonts w:asciiTheme="majorHAnsi" w:hAnsiTheme="majorHAnsi" w:cs="Arial"/>
                <w:b/>
                <w:bCs/>
                <w:lang w:val="nb-NO"/>
              </w:rPr>
            </w:pPr>
          </w:p>
        </w:tc>
        <w:tc>
          <w:tcPr>
            <w:tcW w:w="2126" w:type="dxa"/>
            <w:vAlign w:val="center"/>
          </w:tcPr>
          <w:p w:rsidR="00B705B5" w:rsidRPr="00B109D0" w:rsidRDefault="00B705B5" w:rsidP="00D02943">
            <w:pPr>
              <w:jc w:val="center"/>
              <w:rPr>
                <w:rFonts w:asciiTheme="majorHAnsi" w:hAnsiTheme="majorHAnsi" w:cs="Arial"/>
                <w:b/>
                <w:bCs/>
                <w:lang w:val="nb-NO"/>
              </w:rPr>
            </w:pPr>
            <w:r w:rsidRPr="00B109D0">
              <w:rPr>
                <w:rFonts w:asciiTheme="majorHAnsi" w:hAnsiTheme="majorHAnsi" w:cs="Arial"/>
                <w:b/>
                <w:bCs/>
                <w:lang w:val="nb-NO"/>
              </w:rPr>
              <w:t>Dinas</w:t>
            </w:r>
          </w:p>
        </w:tc>
        <w:tc>
          <w:tcPr>
            <w:tcW w:w="2409" w:type="dxa"/>
            <w:vAlign w:val="center"/>
          </w:tcPr>
          <w:p w:rsidR="00B705B5" w:rsidRPr="00B109D0" w:rsidRDefault="00B705B5" w:rsidP="00D02943">
            <w:pPr>
              <w:jc w:val="center"/>
              <w:rPr>
                <w:rFonts w:asciiTheme="majorHAnsi" w:hAnsiTheme="majorHAnsi" w:cs="Arial"/>
                <w:b/>
                <w:bCs/>
                <w:lang w:val="nb-NO"/>
              </w:rPr>
            </w:pPr>
            <w:r w:rsidRPr="00B109D0">
              <w:rPr>
                <w:rFonts w:asciiTheme="majorHAnsi" w:hAnsiTheme="majorHAnsi" w:cs="Arial"/>
                <w:b/>
                <w:bCs/>
                <w:lang w:val="nb-NO"/>
              </w:rPr>
              <w:t>Tim</w:t>
            </w:r>
          </w:p>
        </w:tc>
      </w:tr>
      <w:tr w:rsidR="00B705B5" w:rsidRPr="00B109D0" w:rsidTr="00BF77D2">
        <w:tc>
          <w:tcPr>
            <w:tcW w:w="558" w:type="dxa"/>
          </w:tcPr>
          <w:p w:rsidR="00B705B5" w:rsidRPr="00B109D0" w:rsidRDefault="00B705B5" w:rsidP="00D02943">
            <w:pPr>
              <w:jc w:val="both"/>
              <w:rPr>
                <w:rFonts w:asciiTheme="majorHAnsi" w:hAnsiTheme="majorHAnsi" w:cs="Arial"/>
                <w:b/>
                <w:bCs/>
                <w:lang w:val="nb-NO"/>
              </w:rPr>
            </w:pPr>
            <w:r w:rsidRPr="00B109D0">
              <w:rPr>
                <w:rFonts w:asciiTheme="majorHAnsi" w:hAnsiTheme="majorHAnsi" w:cs="Arial"/>
                <w:b/>
                <w:bCs/>
                <w:lang w:val="nb-NO"/>
              </w:rPr>
              <w:t>1</w:t>
            </w:r>
          </w:p>
        </w:tc>
        <w:tc>
          <w:tcPr>
            <w:tcW w:w="3411" w:type="dxa"/>
          </w:tcPr>
          <w:p w:rsidR="00B705B5" w:rsidRPr="00B109D0" w:rsidRDefault="00B705B5" w:rsidP="00D02943">
            <w:pPr>
              <w:jc w:val="center"/>
              <w:rPr>
                <w:rFonts w:asciiTheme="majorHAnsi" w:hAnsiTheme="majorHAnsi" w:cs="Arial"/>
                <w:b/>
                <w:bCs/>
                <w:lang w:val="nb-NO"/>
              </w:rPr>
            </w:pPr>
            <w:r w:rsidRPr="00B109D0">
              <w:rPr>
                <w:rFonts w:asciiTheme="majorHAnsi" w:hAnsiTheme="majorHAnsi" w:cs="Arial"/>
                <w:b/>
                <w:bCs/>
                <w:lang w:val="nb-NO"/>
              </w:rPr>
              <w:t>2</w:t>
            </w:r>
          </w:p>
        </w:tc>
        <w:tc>
          <w:tcPr>
            <w:tcW w:w="2126" w:type="dxa"/>
          </w:tcPr>
          <w:p w:rsidR="00B705B5" w:rsidRPr="00B109D0" w:rsidRDefault="00B705B5" w:rsidP="00D02943">
            <w:pPr>
              <w:jc w:val="center"/>
              <w:rPr>
                <w:rFonts w:asciiTheme="majorHAnsi" w:hAnsiTheme="majorHAnsi" w:cs="Arial"/>
                <w:b/>
                <w:bCs/>
                <w:lang w:val="nb-NO"/>
              </w:rPr>
            </w:pPr>
            <w:r w:rsidRPr="00B109D0">
              <w:rPr>
                <w:rFonts w:asciiTheme="majorHAnsi" w:hAnsiTheme="majorHAnsi" w:cs="Arial"/>
                <w:b/>
                <w:bCs/>
                <w:lang w:val="nb-NO"/>
              </w:rPr>
              <w:t>3</w:t>
            </w:r>
          </w:p>
        </w:tc>
        <w:tc>
          <w:tcPr>
            <w:tcW w:w="2409" w:type="dxa"/>
          </w:tcPr>
          <w:p w:rsidR="00B705B5" w:rsidRPr="00B109D0" w:rsidRDefault="00B705B5" w:rsidP="00D02943">
            <w:pPr>
              <w:jc w:val="center"/>
              <w:rPr>
                <w:rFonts w:asciiTheme="majorHAnsi" w:hAnsiTheme="majorHAnsi" w:cs="Arial"/>
                <w:b/>
                <w:bCs/>
                <w:lang w:val="nb-NO"/>
              </w:rPr>
            </w:pPr>
            <w:r w:rsidRPr="00B109D0">
              <w:rPr>
                <w:rFonts w:asciiTheme="majorHAnsi" w:hAnsiTheme="majorHAnsi" w:cs="Arial"/>
                <w:b/>
                <w:bCs/>
                <w:lang w:val="nb-NO"/>
              </w:rPr>
              <w:t>4</w:t>
            </w:r>
          </w:p>
        </w:tc>
      </w:tr>
      <w:tr w:rsidR="00F22E33" w:rsidRPr="00B109D0" w:rsidTr="00BF77D2">
        <w:tc>
          <w:tcPr>
            <w:tcW w:w="558" w:type="dxa"/>
          </w:tcPr>
          <w:p w:rsidR="00F22E33" w:rsidRPr="00B109D0" w:rsidRDefault="00F22E33" w:rsidP="00D02943">
            <w:pPr>
              <w:jc w:val="both"/>
              <w:rPr>
                <w:rFonts w:asciiTheme="majorHAnsi" w:hAnsiTheme="majorHAnsi" w:cs="Arial"/>
                <w:lang w:val="nb-NO"/>
              </w:rPr>
            </w:pPr>
            <w:r w:rsidRPr="00B109D0">
              <w:rPr>
                <w:rFonts w:asciiTheme="majorHAnsi" w:hAnsiTheme="majorHAnsi" w:cs="Arial"/>
                <w:lang w:val="nb-NO"/>
              </w:rPr>
              <w:t>1</w:t>
            </w:r>
          </w:p>
        </w:tc>
        <w:tc>
          <w:tcPr>
            <w:tcW w:w="3411" w:type="dxa"/>
          </w:tcPr>
          <w:p w:rsidR="00F22E33" w:rsidRPr="00764E53" w:rsidRDefault="00F22E33" w:rsidP="00686DD2">
            <w:r w:rsidRPr="00764E53">
              <w:t>Abdul Rahman Salam, S.Ag., M.H.</w:t>
            </w:r>
          </w:p>
        </w:tc>
        <w:tc>
          <w:tcPr>
            <w:tcW w:w="2126" w:type="dxa"/>
          </w:tcPr>
          <w:p w:rsidR="00F22E33" w:rsidRPr="00021322" w:rsidRDefault="00F22E33" w:rsidP="00F22E33">
            <w:pPr>
              <w:jc w:val="center"/>
            </w:pPr>
            <w:r w:rsidRPr="00021322">
              <w:t>Ketua</w:t>
            </w:r>
          </w:p>
        </w:tc>
        <w:tc>
          <w:tcPr>
            <w:tcW w:w="2409" w:type="dxa"/>
          </w:tcPr>
          <w:p w:rsidR="00F22E33" w:rsidRPr="00021322" w:rsidRDefault="00F22E33" w:rsidP="00F22E33">
            <w:pPr>
              <w:jc w:val="center"/>
            </w:pPr>
            <w:r w:rsidRPr="00021322">
              <w:t>Pembina</w:t>
            </w:r>
          </w:p>
        </w:tc>
      </w:tr>
      <w:tr w:rsidR="00F22E33" w:rsidRPr="00B109D0" w:rsidTr="00BF77D2">
        <w:tc>
          <w:tcPr>
            <w:tcW w:w="558" w:type="dxa"/>
          </w:tcPr>
          <w:p w:rsidR="00F22E33" w:rsidRPr="00B109D0" w:rsidRDefault="00F22E33" w:rsidP="00D02943">
            <w:pPr>
              <w:jc w:val="both"/>
              <w:rPr>
                <w:rFonts w:asciiTheme="majorHAnsi" w:hAnsiTheme="majorHAnsi" w:cs="Arial"/>
                <w:lang w:val="nb-NO"/>
              </w:rPr>
            </w:pPr>
            <w:r w:rsidRPr="00B109D0">
              <w:rPr>
                <w:rFonts w:asciiTheme="majorHAnsi" w:hAnsiTheme="majorHAnsi" w:cs="Arial"/>
                <w:lang w:val="nb-NO"/>
              </w:rPr>
              <w:t>2</w:t>
            </w:r>
          </w:p>
        </w:tc>
        <w:tc>
          <w:tcPr>
            <w:tcW w:w="3411" w:type="dxa"/>
          </w:tcPr>
          <w:p w:rsidR="00F22E33" w:rsidRPr="00764E53" w:rsidRDefault="00F22E33" w:rsidP="00686DD2">
            <w:r w:rsidRPr="00764E53">
              <w:t>Hj. Asni Amin, S.HI.</w:t>
            </w:r>
          </w:p>
        </w:tc>
        <w:tc>
          <w:tcPr>
            <w:tcW w:w="2126" w:type="dxa"/>
          </w:tcPr>
          <w:p w:rsidR="00F22E33" w:rsidRPr="00021322" w:rsidRDefault="00F22E33" w:rsidP="00F22E33">
            <w:pPr>
              <w:jc w:val="center"/>
            </w:pPr>
            <w:r w:rsidRPr="00021322">
              <w:t>Sekretaris</w:t>
            </w:r>
          </w:p>
        </w:tc>
        <w:tc>
          <w:tcPr>
            <w:tcW w:w="2409" w:type="dxa"/>
          </w:tcPr>
          <w:p w:rsidR="00F22E33" w:rsidRPr="00021322" w:rsidRDefault="00F22E33" w:rsidP="00F22E33">
            <w:pPr>
              <w:jc w:val="center"/>
            </w:pPr>
            <w:r w:rsidRPr="00021322">
              <w:t>Penanggungjawab</w:t>
            </w:r>
          </w:p>
        </w:tc>
      </w:tr>
      <w:tr w:rsidR="00F22E33" w:rsidRPr="00B109D0" w:rsidTr="00BF77D2">
        <w:tc>
          <w:tcPr>
            <w:tcW w:w="558" w:type="dxa"/>
          </w:tcPr>
          <w:p w:rsidR="00F22E33" w:rsidRPr="00B109D0" w:rsidRDefault="00F22E33" w:rsidP="00D02943">
            <w:pPr>
              <w:jc w:val="both"/>
              <w:rPr>
                <w:rFonts w:asciiTheme="majorHAnsi" w:hAnsiTheme="majorHAnsi" w:cs="Arial"/>
                <w:lang w:val="nb-NO"/>
              </w:rPr>
            </w:pPr>
            <w:r w:rsidRPr="00B109D0">
              <w:rPr>
                <w:rFonts w:asciiTheme="majorHAnsi" w:hAnsiTheme="majorHAnsi" w:cs="Arial"/>
                <w:lang w:val="nb-NO"/>
              </w:rPr>
              <w:t>3</w:t>
            </w:r>
          </w:p>
        </w:tc>
        <w:tc>
          <w:tcPr>
            <w:tcW w:w="3411" w:type="dxa"/>
          </w:tcPr>
          <w:p w:rsidR="00F22E33" w:rsidRPr="00764E53" w:rsidRDefault="00F22E33" w:rsidP="00686DD2">
            <w:r w:rsidRPr="00764E53">
              <w:t>Andi Bobby, S.Kom</w:t>
            </w:r>
          </w:p>
        </w:tc>
        <w:tc>
          <w:tcPr>
            <w:tcW w:w="2126" w:type="dxa"/>
          </w:tcPr>
          <w:p w:rsidR="00F22E33" w:rsidRPr="00021322" w:rsidRDefault="00F22E33" w:rsidP="00F22E33">
            <w:pPr>
              <w:jc w:val="center"/>
            </w:pPr>
            <w:r w:rsidRPr="00021322">
              <w:t>Kasubag Umum dan Keuangan</w:t>
            </w:r>
          </w:p>
        </w:tc>
        <w:tc>
          <w:tcPr>
            <w:tcW w:w="2409" w:type="dxa"/>
          </w:tcPr>
          <w:p w:rsidR="00F22E33" w:rsidRPr="00021322" w:rsidRDefault="00F22E33" w:rsidP="00F22E33">
            <w:pPr>
              <w:jc w:val="center"/>
            </w:pPr>
            <w:r w:rsidRPr="00021322">
              <w:t>Koordinator dan Pelaksana</w:t>
            </w:r>
          </w:p>
        </w:tc>
      </w:tr>
      <w:tr w:rsidR="00F22E33" w:rsidRPr="00B109D0" w:rsidTr="00BF77D2">
        <w:tc>
          <w:tcPr>
            <w:tcW w:w="558" w:type="dxa"/>
          </w:tcPr>
          <w:p w:rsidR="00F22E33" w:rsidRPr="00B109D0" w:rsidRDefault="00F22E33" w:rsidP="00D02943">
            <w:pPr>
              <w:jc w:val="both"/>
              <w:rPr>
                <w:rFonts w:asciiTheme="majorHAnsi" w:hAnsiTheme="majorHAnsi" w:cs="Arial"/>
                <w:lang w:val="nb-NO"/>
              </w:rPr>
            </w:pPr>
            <w:r w:rsidRPr="00B109D0">
              <w:rPr>
                <w:rFonts w:asciiTheme="majorHAnsi" w:hAnsiTheme="majorHAnsi" w:cs="Arial"/>
                <w:lang w:val="nb-NO"/>
              </w:rPr>
              <w:t>4</w:t>
            </w:r>
          </w:p>
        </w:tc>
        <w:tc>
          <w:tcPr>
            <w:tcW w:w="3411" w:type="dxa"/>
          </w:tcPr>
          <w:p w:rsidR="00F22E33" w:rsidRDefault="00F22E33" w:rsidP="00686DD2">
            <w:r w:rsidRPr="00764E53">
              <w:t>Muhammad Rizaldy, S.H.</w:t>
            </w:r>
          </w:p>
        </w:tc>
        <w:tc>
          <w:tcPr>
            <w:tcW w:w="2126" w:type="dxa"/>
          </w:tcPr>
          <w:p w:rsidR="00F22E33" w:rsidRPr="00021322" w:rsidRDefault="00F22E33" w:rsidP="00F22E33">
            <w:pPr>
              <w:jc w:val="center"/>
            </w:pPr>
            <w:r>
              <w:t>Kasubag Kepegawaian &amp; ORTALA</w:t>
            </w:r>
          </w:p>
        </w:tc>
        <w:tc>
          <w:tcPr>
            <w:tcW w:w="2409" w:type="dxa"/>
          </w:tcPr>
          <w:p w:rsidR="00F22E33" w:rsidRDefault="00F22E33" w:rsidP="00F22E33">
            <w:pPr>
              <w:jc w:val="center"/>
            </w:pPr>
            <w:r w:rsidRPr="00021322">
              <w:t>Operator</w:t>
            </w:r>
          </w:p>
        </w:tc>
      </w:tr>
    </w:tbl>
    <w:p w:rsidR="00B705B5" w:rsidRPr="00BE276F" w:rsidRDefault="00CA5B91" w:rsidP="00B705B5">
      <w:pPr>
        <w:spacing w:line="360" w:lineRule="auto"/>
        <w:jc w:val="both"/>
        <w:rPr>
          <w:rFonts w:asciiTheme="majorHAnsi" w:eastAsia="Malgun Gothic Semilight" w:hAnsiTheme="majorHAnsi" w:cs="Malgun Gothic Semilight"/>
        </w:rPr>
      </w:pPr>
      <w:bookmarkStart w:id="0" w:name="_GoBack"/>
      <w:r>
        <w:rPr>
          <w:rFonts w:asciiTheme="majorHAnsi" w:eastAsia="Malgun Gothic Semilight" w:hAnsiTheme="majorHAnsi" w:cs="Times New Roman"/>
          <w:noProof/>
          <w:lang w:eastAsia="id-ID"/>
        </w:rPr>
        <w:drawing>
          <wp:anchor distT="0" distB="0" distL="114300" distR="114300" simplePos="0" relativeHeight="251660288" behindDoc="0" locked="0" layoutInCell="1" allowOverlap="1" wp14:anchorId="76F8FC89" wp14:editId="48FD012A">
            <wp:simplePos x="0" y="0"/>
            <wp:positionH relativeFrom="column">
              <wp:posOffset>3180080</wp:posOffset>
            </wp:positionH>
            <wp:positionV relativeFrom="paragraph">
              <wp:posOffset>149225</wp:posOffset>
            </wp:positionV>
            <wp:extent cx="1742440" cy="11055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d.rahma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742440" cy="1105535"/>
                    </a:xfrm>
                    <a:prstGeom prst="rect">
                      <a:avLst/>
                    </a:prstGeom>
                  </pic:spPr>
                </pic:pic>
              </a:graphicData>
            </a:graphic>
            <wp14:sizeRelH relativeFrom="page">
              <wp14:pctWidth>0</wp14:pctWidth>
            </wp14:sizeRelH>
            <wp14:sizeRelV relativeFrom="page">
              <wp14:pctHeight>0</wp14:pctHeight>
            </wp14:sizeRelV>
          </wp:anchor>
        </w:drawing>
      </w:r>
      <w:bookmarkEnd w:id="0"/>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794"/>
      </w:tblGrid>
      <w:tr w:rsidR="00BF77D2" w:rsidRPr="00F975A6" w:rsidTr="00D02943">
        <w:trPr>
          <w:jc w:val="right"/>
        </w:trPr>
        <w:tc>
          <w:tcPr>
            <w:tcW w:w="3794" w:type="dxa"/>
          </w:tcPr>
          <w:p w:rsidR="00BF77D2" w:rsidRPr="00F975A6" w:rsidRDefault="00BF77D2" w:rsidP="00D02943">
            <w:pPr>
              <w:jc w:val="both"/>
              <w:rPr>
                <w:rFonts w:asciiTheme="majorHAnsi" w:hAnsiTheme="majorHAnsi"/>
              </w:rPr>
            </w:pPr>
            <w:r>
              <w:rPr>
                <w:rFonts w:asciiTheme="majorHAnsi" w:hAnsiTheme="majorHAnsi"/>
              </w:rPr>
              <w:t>Ketua</w:t>
            </w:r>
            <w:r w:rsidRPr="00F975A6">
              <w:rPr>
                <w:rFonts w:asciiTheme="majorHAnsi" w:hAnsiTheme="majorHAnsi"/>
              </w:rPr>
              <w:t>,</w:t>
            </w:r>
          </w:p>
          <w:p w:rsidR="00BF77D2" w:rsidRPr="00F975A6" w:rsidRDefault="00BF77D2" w:rsidP="00D02943">
            <w:pPr>
              <w:jc w:val="both"/>
              <w:rPr>
                <w:rFonts w:asciiTheme="majorHAnsi" w:hAnsiTheme="majorHAnsi"/>
                <w:b/>
                <w:u w:val="single"/>
              </w:rPr>
            </w:pPr>
          </w:p>
          <w:p w:rsidR="00BF77D2" w:rsidRPr="00F975A6" w:rsidRDefault="00BF77D2" w:rsidP="00D02943">
            <w:pPr>
              <w:jc w:val="both"/>
              <w:rPr>
                <w:rFonts w:asciiTheme="majorHAnsi" w:hAnsiTheme="majorHAnsi"/>
                <w:b/>
                <w:u w:val="single"/>
              </w:rPr>
            </w:pPr>
          </w:p>
          <w:p w:rsidR="00BF77D2" w:rsidRPr="00F975A6" w:rsidRDefault="00BF77D2" w:rsidP="00D02943">
            <w:pPr>
              <w:jc w:val="both"/>
              <w:rPr>
                <w:rFonts w:asciiTheme="majorHAnsi" w:hAnsiTheme="majorHAnsi"/>
                <w:b/>
                <w:u w:val="single"/>
              </w:rPr>
            </w:pPr>
          </w:p>
          <w:p w:rsidR="00BF77D2" w:rsidRPr="00F975A6" w:rsidRDefault="00BF77D2" w:rsidP="00D02943">
            <w:pPr>
              <w:jc w:val="both"/>
              <w:rPr>
                <w:rFonts w:asciiTheme="majorHAnsi" w:hAnsiTheme="majorHAnsi"/>
                <w:b/>
                <w:u w:val="single"/>
              </w:rPr>
            </w:pPr>
          </w:p>
          <w:p w:rsidR="00BF77D2" w:rsidRPr="00F975A6" w:rsidRDefault="00BF77D2" w:rsidP="00D02943">
            <w:pPr>
              <w:jc w:val="both"/>
              <w:rPr>
                <w:rFonts w:asciiTheme="majorHAnsi" w:hAnsiTheme="majorHAnsi"/>
                <w:b/>
                <w:u w:val="single"/>
              </w:rPr>
            </w:pPr>
            <w:r>
              <w:rPr>
                <w:rFonts w:asciiTheme="majorHAnsi" w:hAnsiTheme="majorHAnsi"/>
                <w:b/>
                <w:u w:val="single"/>
              </w:rPr>
              <w:t>Abdul Rahman Salam, S.Ag., M.H.</w:t>
            </w:r>
          </w:p>
          <w:p w:rsidR="00BF77D2" w:rsidRPr="00C95C25" w:rsidRDefault="00BF77D2" w:rsidP="00D02943">
            <w:pPr>
              <w:jc w:val="both"/>
              <w:rPr>
                <w:rFonts w:asciiTheme="majorHAnsi" w:hAnsiTheme="majorHAnsi"/>
              </w:rPr>
            </w:pPr>
            <w:r w:rsidRPr="00F975A6">
              <w:rPr>
                <w:rFonts w:asciiTheme="majorHAnsi" w:hAnsiTheme="majorHAnsi"/>
              </w:rPr>
              <w:t xml:space="preserve">NIP. </w:t>
            </w:r>
            <w:r w:rsidRPr="00F22E33">
              <w:rPr>
                <w:rFonts w:asciiTheme="majorHAnsi" w:hAnsiTheme="majorHAnsi"/>
              </w:rPr>
              <w:t>19730212 199903 1 002</w:t>
            </w:r>
          </w:p>
        </w:tc>
      </w:tr>
    </w:tbl>
    <w:p w:rsidR="007F4177" w:rsidRDefault="007F4177" w:rsidP="006B1D91">
      <w:pPr>
        <w:autoSpaceDE w:val="0"/>
        <w:autoSpaceDN w:val="0"/>
        <w:adjustRightInd w:val="0"/>
        <w:spacing w:after="0" w:line="360" w:lineRule="auto"/>
        <w:rPr>
          <w:rFonts w:asciiTheme="majorHAnsi" w:hAnsiTheme="majorHAnsi" w:cs="Times New Roman"/>
        </w:rPr>
      </w:pPr>
    </w:p>
    <w:sectPr w:rsidR="007F4177"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5292F"/>
    <w:multiLevelType w:val="hybridMultilevel"/>
    <w:tmpl w:val="4BA8BDD4"/>
    <w:lvl w:ilvl="0" w:tplc="0409000F">
      <w:start w:val="1"/>
      <w:numFmt w:val="decimal"/>
      <w:lvlText w:val="%1."/>
      <w:lvlJc w:val="lef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2">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594B6D"/>
    <w:multiLevelType w:val="hybridMultilevel"/>
    <w:tmpl w:val="91527F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7">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8">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0">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9060308"/>
    <w:multiLevelType w:val="hybridMultilevel"/>
    <w:tmpl w:val="A230838A"/>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2D36BA"/>
    <w:multiLevelType w:val="hybridMultilevel"/>
    <w:tmpl w:val="62DAD80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4">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6">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9">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3">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5">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6">
    <w:nsid w:val="790B71C5"/>
    <w:multiLevelType w:val="hybridMultilevel"/>
    <w:tmpl w:val="B0FE8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9">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0">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2"/>
  </w:num>
  <w:num w:numId="3">
    <w:abstractNumId w:val="22"/>
  </w:num>
  <w:num w:numId="4">
    <w:abstractNumId w:val="39"/>
  </w:num>
  <w:num w:numId="5">
    <w:abstractNumId w:val="25"/>
  </w:num>
  <w:num w:numId="6">
    <w:abstractNumId w:val="2"/>
  </w:num>
  <w:num w:numId="7">
    <w:abstractNumId w:val="29"/>
  </w:num>
  <w:num w:numId="8">
    <w:abstractNumId w:val="13"/>
  </w:num>
  <w:num w:numId="9">
    <w:abstractNumId w:val="24"/>
  </w:num>
  <w:num w:numId="10">
    <w:abstractNumId w:val="14"/>
  </w:num>
  <w:num w:numId="11">
    <w:abstractNumId w:val="5"/>
  </w:num>
  <w:num w:numId="12">
    <w:abstractNumId w:val="19"/>
  </w:num>
  <w:num w:numId="13">
    <w:abstractNumId w:val="31"/>
  </w:num>
  <w:num w:numId="14">
    <w:abstractNumId w:val="11"/>
  </w:num>
  <w:num w:numId="15">
    <w:abstractNumId w:val="3"/>
  </w:num>
  <w:num w:numId="16">
    <w:abstractNumId w:val="21"/>
  </w:num>
  <w:num w:numId="17">
    <w:abstractNumId w:val="37"/>
  </w:num>
  <w:num w:numId="18">
    <w:abstractNumId w:val="8"/>
  </w:num>
  <w:num w:numId="19">
    <w:abstractNumId w:val="27"/>
  </w:num>
  <w:num w:numId="20">
    <w:abstractNumId w:val="20"/>
  </w:num>
  <w:num w:numId="21">
    <w:abstractNumId w:val="17"/>
  </w:num>
  <w:num w:numId="22">
    <w:abstractNumId w:val="35"/>
  </w:num>
  <w:num w:numId="23">
    <w:abstractNumId w:val="36"/>
  </w:num>
  <w:num w:numId="24">
    <w:abstractNumId w:val="26"/>
  </w:num>
  <w:num w:numId="25">
    <w:abstractNumId w:val="0"/>
  </w:num>
  <w:num w:numId="26">
    <w:abstractNumId w:val="40"/>
  </w:num>
  <w:num w:numId="27">
    <w:abstractNumId w:val="15"/>
  </w:num>
  <w:num w:numId="28">
    <w:abstractNumId w:val="28"/>
  </w:num>
  <w:num w:numId="29">
    <w:abstractNumId w:val="9"/>
  </w:num>
  <w:num w:numId="30">
    <w:abstractNumId w:val="7"/>
  </w:num>
  <w:num w:numId="31">
    <w:abstractNumId w:val="33"/>
  </w:num>
  <w:num w:numId="32">
    <w:abstractNumId w:val="38"/>
  </w:num>
  <w:num w:numId="33">
    <w:abstractNumId w:val="10"/>
  </w:num>
  <w:num w:numId="34">
    <w:abstractNumId w:val="32"/>
  </w:num>
  <w:num w:numId="35">
    <w:abstractNumId w:val="23"/>
  </w:num>
  <w:num w:numId="36">
    <w:abstractNumId w:val="6"/>
  </w:num>
  <w:num w:numId="37">
    <w:abstractNumId w:val="34"/>
  </w:num>
  <w:num w:numId="38">
    <w:abstractNumId w:val="18"/>
  </w:num>
  <w:num w:numId="39">
    <w:abstractNumId w:val="1"/>
  </w:num>
  <w:num w:numId="40">
    <w:abstractNumId w:val="1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015BF"/>
    <w:rsid w:val="000D113C"/>
    <w:rsid w:val="00130894"/>
    <w:rsid w:val="00150DC9"/>
    <w:rsid w:val="00195D82"/>
    <w:rsid w:val="001D4911"/>
    <w:rsid w:val="001D7B8C"/>
    <w:rsid w:val="002606CD"/>
    <w:rsid w:val="002E1907"/>
    <w:rsid w:val="0031396F"/>
    <w:rsid w:val="00365531"/>
    <w:rsid w:val="0036620E"/>
    <w:rsid w:val="00370057"/>
    <w:rsid w:val="00385F77"/>
    <w:rsid w:val="003A5750"/>
    <w:rsid w:val="003A75CB"/>
    <w:rsid w:val="003A762B"/>
    <w:rsid w:val="004254DB"/>
    <w:rsid w:val="004D613E"/>
    <w:rsid w:val="005100E4"/>
    <w:rsid w:val="005147A8"/>
    <w:rsid w:val="0051544D"/>
    <w:rsid w:val="00566B2C"/>
    <w:rsid w:val="00567C74"/>
    <w:rsid w:val="0057554E"/>
    <w:rsid w:val="005B323C"/>
    <w:rsid w:val="005D7018"/>
    <w:rsid w:val="005F1444"/>
    <w:rsid w:val="0060756F"/>
    <w:rsid w:val="00630FB3"/>
    <w:rsid w:val="0067279C"/>
    <w:rsid w:val="006B1D91"/>
    <w:rsid w:val="00716B6A"/>
    <w:rsid w:val="007B27DE"/>
    <w:rsid w:val="007F4177"/>
    <w:rsid w:val="00806155"/>
    <w:rsid w:val="00905C1D"/>
    <w:rsid w:val="00912F0F"/>
    <w:rsid w:val="009C795D"/>
    <w:rsid w:val="009D058A"/>
    <w:rsid w:val="009F7A23"/>
    <w:rsid w:val="00A30BF1"/>
    <w:rsid w:val="00A534EC"/>
    <w:rsid w:val="00A758AD"/>
    <w:rsid w:val="00AB1961"/>
    <w:rsid w:val="00B05002"/>
    <w:rsid w:val="00B11A28"/>
    <w:rsid w:val="00B705B5"/>
    <w:rsid w:val="00BF77D2"/>
    <w:rsid w:val="00C2183C"/>
    <w:rsid w:val="00C40891"/>
    <w:rsid w:val="00C4197C"/>
    <w:rsid w:val="00CA5B91"/>
    <w:rsid w:val="00D3289F"/>
    <w:rsid w:val="00E31278"/>
    <w:rsid w:val="00E55B08"/>
    <w:rsid w:val="00E92623"/>
    <w:rsid w:val="00EA15C2"/>
    <w:rsid w:val="00F1072B"/>
    <w:rsid w:val="00F22E33"/>
    <w:rsid w:val="00F23809"/>
    <w:rsid w:val="00F51AD3"/>
    <w:rsid w:val="00F53F66"/>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B705B5"/>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B705B5"/>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13</cp:revision>
  <cp:lastPrinted>2020-04-19T03:10:00Z</cp:lastPrinted>
  <dcterms:created xsi:type="dcterms:W3CDTF">2020-04-18T05:30:00Z</dcterms:created>
  <dcterms:modified xsi:type="dcterms:W3CDTF">2020-04-19T03:20:00Z</dcterms:modified>
</cp:coreProperties>
</file>