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8C2BED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C4197C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8C2BED">
        <w:rPr>
          <w:rFonts w:asciiTheme="majorHAnsi" w:eastAsia="Malgun Gothic Semilight" w:hAnsiTheme="majorHAnsi" w:cs="Times New Roman"/>
          <w:b/>
          <w:sz w:val="24"/>
          <w:szCs w:val="24"/>
        </w:rPr>
        <w:t>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8C2BED">
        <w:rPr>
          <w:rFonts w:asciiTheme="majorHAnsi" w:eastAsia="Malgun Gothic Semilight" w:hAnsiTheme="majorHAnsi" w:cs="Times New Roman"/>
          <w:b/>
          <w:sz w:val="24"/>
          <w:szCs w:val="24"/>
        </w:rPr>
        <w:t>KU.00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C2BED" w:rsidRPr="008C2BE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PEMBENTUKAN TIM PENYUSUNAN </w:t>
      </w:r>
    </w:p>
    <w:p w:rsidR="008C2BED" w:rsidRPr="008C2BE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SISTEM AKUNTABILITAS KINERJA INSTANSI PEMERINTAH (SAKIP) </w:t>
      </w:r>
    </w:p>
    <w:p w:rsidR="00A758A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>PADA PENGADILAN AGAMA SELAYAR</w:t>
      </w:r>
      <w:r w:rsidR="005100E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640946" w:rsidRDefault="008C2BED" w:rsidP="0064094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8C2BED" w:rsidRPr="008C2BED" w:rsidRDefault="008C2BED" w:rsidP="008C2BE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 xml:space="preserve">Bahwa Sistem Akuntabilitas Kinerja Instansi Pemerintah (SAKIP) adalah merupakan kinerja tahunan yang berisi pertanggungjawaban kinerja suatu instansi dalam mencapai tujuan/sasaran strategis instansi, yang dalam penyusunannya memerlukan kecermatan dan ketelitian dalam pelaksanaan tugas pokok dan fungsi peradilan; </w:t>
            </w:r>
          </w:p>
          <w:p w:rsidR="008C2BED" w:rsidRPr="008C2BED" w:rsidRDefault="008C2BED" w:rsidP="008C2BE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Bahwa agar dalam penyusunan Sistem Akuntabilitas Kinerja Instansi Pemerintah (SAKIP) tersebut dapat menggambarkan kinerja suatu instansi dan memenuhi standar penyusunan sebagaimana yang diamanatkan dalam peraturan penrudang-undangan ;</w:t>
            </w:r>
          </w:p>
          <w:p w:rsidR="00567C74" w:rsidRPr="00EF4C6D" w:rsidRDefault="008C2BED" w:rsidP="008C2BE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bahwa yang tersebut namanya pada lampiran Surat Keputusan ini dipandang cakap dan mampu untuk diserahi tugas sebagai Tim Penyusunan Sistem Akuntabilitas Kinerja Instansi Pemerintah (SAKIP)  pada Pengadilan Agama Selayar</w:t>
            </w:r>
            <w:r>
              <w:rPr>
                <w:rFonts w:asciiTheme="majorHAnsi" w:hAnsiTheme="majorHAnsi" w:cs="Arial"/>
              </w:rPr>
              <w:t xml:space="preserve"> Tahun 2020</w:t>
            </w:r>
            <w:r w:rsidR="00EF4C6D">
              <w:rPr>
                <w:rFonts w:asciiTheme="majorHAnsi" w:hAnsiTheme="majorHAnsi" w:cs="Arial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Undang-Undang Nomor 48 Tahun 2009 tentang Kekuasaan Kehakiman;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Undang-Undang Nomor 50 Tahun 2009 tentang perubahan kedua atas Undang-Undang Nomor 7 Tahun 1989 tentang Peradilan Agama;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Peraturan Pemerintah RI Nomor 8 Tahun 2006 tentang Pelaporan Keuangan dan Kinerja Instansi Pemerintah;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lastRenderedPageBreak/>
              <w:t>Peraturan Pemerintah RI Nomor 39 Tahun 2006 tentang Tata Cara Pengendalian dan Evaluasi Pelaksanaan Rencana Pembangunan;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Instruksi Presiden RI Nomor 7 Tahun 1999 tentang Kinerja Instansi Pemerintah;</w:t>
            </w:r>
          </w:p>
          <w:p w:rsidR="008C2BED" w:rsidRPr="008C2BED" w:rsidRDefault="008C2BED" w:rsidP="008C2BED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8C2BED">
              <w:rPr>
                <w:rFonts w:asciiTheme="majorHAnsi" w:hAnsiTheme="majorHAnsi" w:cs="Arial"/>
              </w:rPr>
              <w:t>Peraturan Menteri Negara Pemberdayaan Aparatur Negara  Nomor 20/M.PAN/11/2008 tentang Petunjuk Penyusunan Kinerja Utama;</w:t>
            </w:r>
          </w:p>
          <w:p w:rsidR="007F4177" w:rsidRPr="00806155" w:rsidRDefault="008C2BED" w:rsidP="008C2BE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8C2BED">
              <w:rPr>
                <w:rFonts w:asciiTheme="majorHAnsi" w:hAnsiTheme="majorHAnsi" w:cs="Arial"/>
              </w:rPr>
              <w:t>Peraturan Menteri Negara Pemberdayaan Aparatur Negara Nomor 29 tahun 2010 tentang Pedoman Penyusunan Pelaporan Kinerja Instansi Pemerintah</w:t>
            </w:r>
            <w:r w:rsidR="00EF4C6D" w:rsidRPr="00EF4C6D">
              <w:rPr>
                <w:rFonts w:asciiTheme="majorHAnsi" w:hAnsiTheme="majorHAnsi" w:cs="Arial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C4197C" w:rsidRPr="003A762B" w:rsidRDefault="003A762B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8C2BED" w:rsidP="003F257B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8C2BED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PEMBENTUKAN TIM PENYUSUNAN SISTEM AKUNTABILITAS KINERJA INSTANSI PEMERINTAH PADA PENGADILAN AGAMA SELAYAR TAHUN</w:t>
            </w:r>
            <w:r w:rsidR="003F257B" w:rsidRPr="003F257B">
              <w:rPr>
                <w:rFonts w:asciiTheme="majorHAnsi" w:hAnsiTheme="majorHAnsi" w:cs="Arial"/>
                <w:b/>
                <w:bCs/>
                <w:szCs w:val="18"/>
              </w:rPr>
              <w:t xml:space="preserve"> 2020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8C2BED" w:rsidP="008C2BED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C2BED">
              <w:rPr>
                <w:rFonts w:asciiTheme="majorHAnsi" w:hAnsiTheme="majorHAnsi" w:cs="Arial"/>
                <w:szCs w:val="18"/>
              </w:rPr>
              <w:t>Membentuk Tim Penyusunan Sistem Akuntabilitas Kinerja Instansi Pemerintah (SAKIP) pada Pengadilan Agama Selayar Tahun 20</w:t>
            </w:r>
            <w:r>
              <w:rPr>
                <w:rFonts w:asciiTheme="majorHAnsi" w:hAnsiTheme="majorHAnsi" w:cs="Arial"/>
                <w:szCs w:val="18"/>
              </w:rPr>
              <w:t>20</w:t>
            </w:r>
            <w:r w:rsidRPr="008C2BED">
              <w:rPr>
                <w:rFonts w:asciiTheme="majorHAnsi" w:hAnsiTheme="majorHAnsi" w:cs="Arial"/>
                <w:szCs w:val="18"/>
              </w:rPr>
              <w:t xml:space="preserve"> sebagaimana tercantum dalam lampiran Surat Keputusan ini.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477356" w:rsidRDefault="001B14D1" w:rsidP="001B14D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1B14D1">
              <w:rPr>
                <w:rFonts w:asciiTheme="majorHAnsi" w:hAnsiTheme="majorHAnsi" w:cs="Arial"/>
                <w:szCs w:val="18"/>
              </w:rPr>
              <w:t>Kepada Tim yang telah dibentuk agar melaksanakan tugasnya d</w:t>
            </w:r>
            <w:r>
              <w:rPr>
                <w:rFonts w:asciiTheme="majorHAnsi" w:hAnsiTheme="majorHAnsi" w:cs="Arial"/>
                <w:szCs w:val="18"/>
              </w:rPr>
              <w:t>engan penuh rasa tanggung jawab.</w:t>
            </w:r>
          </w:p>
        </w:tc>
      </w:tr>
      <w:tr w:rsidR="006B1D91" w:rsidRPr="00F8558F" w:rsidTr="00806155">
        <w:tc>
          <w:tcPr>
            <w:tcW w:w="1717" w:type="dxa"/>
          </w:tcPr>
          <w:p w:rsidR="006B1D91" w:rsidRDefault="006B1D91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6B1D91" w:rsidRDefault="006B1D91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B1D91" w:rsidRPr="006B1D91" w:rsidRDefault="001B14D1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1B14D1">
              <w:rPr>
                <w:rFonts w:asciiTheme="majorHAnsi" w:hAnsiTheme="majorHAnsi" w:cs="Arial"/>
                <w:szCs w:val="18"/>
              </w:rPr>
              <w:t>Surat Keputusan ini mulai berlaku sejak tanggal ditetapkan dengan ketentuan apabila dikemudian hari terdapat kekeliruan di dalamnya, akan diadakan perbaikan sebagaimana mestinya.</w:t>
            </w:r>
          </w:p>
        </w:tc>
      </w:tr>
    </w:tbl>
    <w:p w:rsidR="005D7018" w:rsidRDefault="005D7018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4C1AFF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61724F68" wp14:editId="795D2B3C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103505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177"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1B14D1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1B14D1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1B14D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7F4177" w:rsidRPr="00C95C25" w:rsidRDefault="007F4177" w:rsidP="00477356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1B14D1" w:rsidRPr="001B14D1">
              <w:rPr>
                <w:rFonts w:asciiTheme="majorHAnsi" w:hAnsiTheme="majorHAnsi"/>
              </w:rPr>
              <w:t>19730212 199903 1 002</w:t>
            </w:r>
          </w:p>
        </w:tc>
      </w:tr>
    </w:tbl>
    <w:p w:rsidR="00B705B5" w:rsidRDefault="00B705B5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26A10" w:rsidRDefault="00426A10" w:rsidP="00426A10">
      <w:pPr>
        <w:spacing w:after="0" w:line="240" w:lineRule="auto"/>
        <w:rPr>
          <w:rFonts w:asciiTheme="majorHAnsi" w:hAnsiTheme="majorHAnsi" w:cs="Times New Roman"/>
          <w:b/>
          <w:sz w:val="18"/>
        </w:rPr>
      </w:pP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b/>
          <w:sz w:val="18"/>
        </w:rPr>
        <w:t>Salinan surat keputusan ini disampaikan kepada</w:t>
      </w:r>
      <w:r w:rsidRPr="00426A10">
        <w:rPr>
          <w:rFonts w:asciiTheme="majorHAnsi" w:hAnsiTheme="majorHAnsi" w:cs="Times New Roman"/>
          <w:sz w:val="18"/>
        </w:rPr>
        <w:t xml:space="preserve"> :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Sekretaris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Dirjen Badan Peradilan Agama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Kepala Badan Pengawasan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Ketua Pengadilan Tinggi Agama Makassar;</w:t>
      </w:r>
    </w:p>
    <w:p w:rsidR="00B705B5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</w:rPr>
      </w:pPr>
      <w:r w:rsidRPr="001B14D1">
        <w:rPr>
          <w:rFonts w:asciiTheme="majorHAnsi" w:hAnsiTheme="majorHAnsi" w:cs="Times New Roman"/>
          <w:sz w:val="18"/>
        </w:rPr>
        <w:t>Yang bersangkutan untuk diketahui dan dilaksanakan.</w:t>
      </w:r>
    </w:p>
    <w:p w:rsidR="001B14D1" w:rsidRDefault="001B14D1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4962" w:type="dxa"/>
        <w:tblInd w:w="40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</w:tblGrid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3F3D6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</w:t>
            </w:r>
            <w:r w:rsidR="003F3D60">
              <w:rPr>
                <w:rFonts w:asciiTheme="majorHAnsi" w:hAnsiTheme="majorHAnsi"/>
                <w:sz w:val="16"/>
                <w:szCs w:val="16"/>
              </w:rPr>
              <w:t>024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 w:rsidR="003F3D60">
              <w:rPr>
                <w:rFonts w:asciiTheme="majorHAnsi" w:hAnsiTheme="majorHAnsi"/>
                <w:sz w:val="16"/>
                <w:szCs w:val="16"/>
              </w:rPr>
              <w:t>KU</w:t>
            </w:r>
            <w:r>
              <w:rPr>
                <w:rFonts w:asciiTheme="majorHAnsi" w:hAnsiTheme="majorHAnsi"/>
                <w:sz w:val="16"/>
                <w:szCs w:val="16"/>
              </w:rPr>
              <w:t>.0</w:t>
            </w:r>
            <w:r w:rsidR="003F3D60">
              <w:rPr>
                <w:rFonts w:asciiTheme="majorHAnsi" w:hAnsiTheme="majorHAnsi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sz w:val="16"/>
                <w:szCs w:val="16"/>
              </w:rPr>
              <w:t>/I/2020</w:t>
            </w:r>
          </w:p>
        </w:tc>
      </w:tr>
      <w:tr w:rsidR="001B14D1" w:rsidRPr="004F2567" w:rsidTr="001B14D1">
        <w:tc>
          <w:tcPr>
            <w:tcW w:w="993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1B14D1" w:rsidRPr="004F2567" w:rsidRDefault="001B14D1" w:rsidP="001B14D1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1B14D1" w:rsidRPr="00CD691E" w:rsidRDefault="001B14D1" w:rsidP="001B14D1">
      <w:pPr>
        <w:tabs>
          <w:tab w:val="left" w:pos="360"/>
        </w:tabs>
        <w:spacing w:after="0" w:line="360" w:lineRule="auto"/>
        <w:ind w:left="4320"/>
        <w:rPr>
          <w:rFonts w:ascii="Arial" w:hAnsi="Arial" w:cs="Arial"/>
          <w:sz w:val="20"/>
          <w:szCs w:val="20"/>
          <w:lang w:val="fi-FI"/>
        </w:rPr>
      </w:pPr>
    </w:p>
    <w:p w:rsidR="001B14D1" w:rsidRPr="001B14D1" w:rsidRDefault="001B14D1" w:rsidP="001B14D1">
      <w:pPr>
        <w:spacing w:after="0" w:line="360" w:lineRule="auto"/>
        <w:jc w:val="center"/>
        <w:rPr>
          <w:rFonts w:asciiTheme="majorHAnsi" w:hAnsiTheme="majorHAnsi" w:cs="Arial"/>
          <w:b/>
          <w:szCs w:val="20"/>
        </w:rPr>
      </w:pPr>
    </w:p>
    <w:p w:rsidR="001B14D1" w:rsidRPr="001B14D1" w:rsidRDefault="001B14D1" w:rsidP="00F31449">
      <w:pPr>
        <w:spacing w:after="0" w:line="360" w:lineRule="auto"/>
        <w:jc w:val="center"/>
        <w:rPr>
          <w:rFonts w:asciiTheme="majorHAnsi" w:hAnsiTheme="majorHAnsi"/>
          <w:b/>
          <w:bCs/>
          <w:szCs w:val="20"/>
        </w:rPr>
      </w:pPr>
      <w:r w:rsidRPr="001B14D1">
        <w:rPr>
          <w:rFonts w:asciiTheme="majorHAnsi" w:hAnsiTheme="majorHAnsi" w:cs="Arial"/>
          <w:b/>
          <w:szCs w:val="20"/>
        </w:rPr>
        <w:t xml:space="preserve">TIM PENYUSUNAN LAPORAN KINERJA INSTANSI PEMERINTAH (SAKIP) </w:t>
      </w:r>
    </w:p>
    <w:p w:rsidR="001B14D1" w:rsidRPr="001B14D1" w:rsidRDefault="001B14D1" w:rsidP="00F31449">
      <w:pPr>
        <w:spacing w:after="0" w:line="360" w:lineRule="auto"/>
        <w:jc w:val="center"/>
        <w:rPr>
          <w:rFonts w:asciiTheme="majorHAnsi" w:hAnsiTheme="majorHAnsi" w:cs="Arial"/>
          <w:b/>
          <w:szCs w:val="20"/>
        </w:rPr>
      </w:pPr>
      <w:r w:rsidRPr="001B14D1">
        <w:rPr>
          <w:rFonts w:asciiTheme="majorHAnsi" w:hAnsiTheme="majorHAnsi" w:cs="Arial"/>
          <w:b/>
          <w:szCs w:val="20"/>
        </w:rPr>
        <w:t>PADA PENGADILAN AGAMA SELAYAR TAHUN 20</w:t>
      </w:r>
      <w:r w:rsidR="008A5C1D">
        <w:rPr>
          <w:rFonts w:asciiTheme="majorHAnsi" w:hAnsiTheme="majorHAnsi" w:cs="Arial"/>
          <w:b/>
          <w:szCs w:val="20"/>
        </w:rPr>
        <w:t>20</w:t>
      </w:r>
    </w:p>
    <w:p w:rsidR="001B14D1" w:rsidRPr="00320304" w:rsidRDefault="001B14D1" w:rsidP="00F31449">
      <w:pPr>
        <w:spacing w:after="0" w:line="360" w:lineRule="auto"/>
        <w:jc w:val="both"/>
        <w:rPr>
          <w:sz w:val="18"/>
          <w:szCs w:val="1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02"/>
        <w:gridCol w:w="2430"/>
        <w:gridCol w:w="2399"/>
      </w:tblGrid>
      <w:tr w:rsidR="001B14D1" w:rsidRPr="002056F2" w:rsidTr="00F31449">
        <w:tc>
          <w:tcPr>
            <w:tcW w:w="558" w:type="dxa"/>
            <w:vMerge w:val="restart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No</w:t>
            </w:r>
          </w:p>
        </w:tc>
        <w:tc>
          <w:tcPr>
            <w:tcW w:w="3402" w:type="dxa"/>
            <w:vMerge w:val="restart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 xml:space="preserve">Nama </w:t>
            </w:r>
          </w:p>
        </w:tc>
        <w:tc>
          <w:tcPr>
            <w:tcW w:w="4829" w:type="dxa"/>
            <w:gridSpan w:val="2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Jabatan</w:t>
            </w:r>
          </w:p>
        </w:tc>
      </w:tr>
      <w:tr w:rsidR="001B14D1" w:rsidRPr="002056F2" w:rsidTr="00F31449">
        <w:tc>
          <w:tcPr>
            <w:tcW w:w="558" w:type="dxa"/>
            <w:vMerge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3402" w:type="dxa"/>
            <w:vMerge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2430" w:type="dxa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Dinas</w:t>
            </w:r>
          </w:p>
        </w:tc>
        <w:tc>
          <w:tcPr>
            <w:tcW w:w="2399" w:type="dxa"/>
            <w:vAlign w:val="center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Tim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F31449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1</w:t>
            </w:r>
          </w:p>
        </w:tc>
        <w:tc>
          <w:tcPr>
            <w:tcW w:w="3402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2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3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4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2056F2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1</w:t>
            </w:r>
          </w:p>
        </w:tc>
        <w:tc>
          <w:tcPr>
            <w:tcW w:w="3402" w:type="dxa"/>
          </w:tcPr>
          <w:p w:rsidR="001B14D1" w:rsidRPr="00866BD7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Abdul Rahman Salam, S.Ag., M.H.</w:t>
            </w:r>
          </w:p>
          <w:p w:rsidR="001B14D1" w:rsidRPr="00800FBD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Ketua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Pembina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2056F2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2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Drs. H. Mustari M.</w:t>
            </w:r>
          </w:p>
          <w:p w:rsidR="001B14D1" w:rsidRPr="002056F2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Penanggungjawab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3</w:t>
            </w:r>
          </w:p>
        </w:tc>
        <w:tc>
          <w:tcPr>
            <w:tcW w:w="3402" w:type="dxa"/>
          </w:tcPr>
          <w:p w:rsidR="001B14D1" w:rsidRPr="002056F2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Hj. Asni Amin, S.HI.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Sekretaris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Penanggungjawab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Pr="002056F2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4</w:t>
            </w:r>
          </w:p>
        </w:tc>
        <w:tc>
          <w:tcPr>
            <w:tcW w:w="3402" w:type="dxa"/>
          </w:tcPr>
          <w:p w:rsidR="001B14D1" w:rsidRPr="002056F2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Irwan Azis, S.Kom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Perencanaan, TI dan Pelaporan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Ketua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5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Andi Bobby, S.Kom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Umum dan Keuangan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6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Muhammad Rizaldy</w:t>
            </w:r>
            <w:r w:rsidRPr="002056F2">
              <w:rPr>
                <w:rFonts w:ascii="Arial" w:hAnsi="Arial" w:cs="Arial"/>
                <w:sz w:val="20"/>
                <w:szCs w:val="20"/>
                <w:lang w:val="nb-NO"/>
              </w:rPr>
              <w:t>, S.H.</w:t>
            </w:r>
          </w:p>
          <w:p w:rsidR="001B14D1" w:rsidRPr="009F7308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Kasubag Kepegawaian dan Ortala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7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Nurhaedah, S.Ag.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 Muda Permohonan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8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Drs. Baharuddin</w:t>
            </w:r>
          </w:p>
        </w:tc>
        <w:tc>
          <w:tcPr>
            <w:tcW w:w="2430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 Muda Gugatan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  <w:tr w:rsidR="001B14D1" w:rsidRPr="002056F2" w:rsidTr="00F31449">
        <w:tc>
          <w:tcPr>
            <w:tcW w:w="558" w:type="dxa"/>
          </w:tcPr>
          <w:p w:rsidR="001B14D1" w:rsidRDefault="001B14D1" w:rsidP="00F31449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9</w:t>
            </w:r>
          </w:p>
        </w:tc>
        <w:tc>
          <w:tcPr>
            <w:tcW w:w="3402" w:type="dxa"/>
          </w:tcPr>
          <w:p w:rsidR="001B14D1" w:rsidRDefault="001B14D1" w:rsidP="00F31449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H. Jalaluddin, S.Ag., M.H.</w:t>
            </w:r>
          </w:p>
        </w:tc>
        <w:tc>
          <w:tcPr>
            <w:tcW w:w="2430" w:type="dxa"/>
          </w:tcPr>
          <w:p w:rsidR="001B14D1" w:rsidRPr="00F31449" w:rsidRDefault="004C1AFF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61312" behindDoc="0" locked="0" layoutInCell="1" allowOverlap="1" wp14:anchorId="10F174F4" wp14:editId="1A2062A6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145415</wp:posOffset>
                  </wp:positionV>
                  <wp:extent cx="1742440" cy="11055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14D1" w:rsidRPr="00F31449">
              <w:rPr>
                <w:rFonts w:ascii="Arial" w:hAnsi="Arial" w:cs="Arial"/>
                <w:sz w:val="20"/>
                <w:szCs w:val="20"/>
                <w:lang w:val="nb-NO"/>
              </w:rPr>
              <w:t>Panitera Muda Hukum</w:t>
            </w:r>
          </w:p>
        </w:tc>
        <w:tc>
          <w:tcPr>
            <w:tcW w:w="2399" w:type="dxa"/>
          </w:tcPr>
          <w:p w:rsidR="001B14D1" w:rsidRPr="00F31449" w:rsidRDefault="001B14D1" w:rsidP="00F31449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31449">
              <w:rPr>
                <w:rFonts w:ascii="Arial" w:hAnsi="Arial" w:cs="Arial"/>
                <w:sz w:val="20"/>
                <w:szCs w:val="20"/>
                <w:lang w:val="nb-NO"/>
              </w:rPr>
              <w:t>Anggota</w:t>
            </w:r>
          </w:p>
        </w:tc>
      </w:tr>
    </w:tbl>
    <w:p w:rsidR="001B14D1" w:rsidRDefault="001B14D1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F31449" w:rsidRPr="00F975A6" w:rsidTr="00D02943">
        <w:trPr>
          <w:jc w:val="right"/>
        </w:trPr>
        <w:tc>
          <w:tcPr>
            <w:tcW w:w="3794" w:type="dxa"/>
          </w:tcPr>
          <w:p w:rsidR="00F31449" w:rsidRPr="00F975A6" w:rsidRDefault="00F31449" w:rsidP="00D0294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bookmarkStart w:id="0" w:name="_GoBack"/>
            <w:bookmarkEnd w:id="0"/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F31449" w:rsidRPr="00F975A6" w:rsidRDefault="00F31449" w:rsidP="00D02943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1B14D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F31449" w:rsidRPr="00C95C25" w:rsidRDefault="00F31449" w:rsidP="00D02943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Pr="001B14D1">
              <w:rPr>
                <w:rFonts w:asciiTheme="majorHAnsi" w:hAnsiTheme="majorHAnsi"/>
              </w:rPr>
              <w:t>19730212 199903 1 002</w:t>
            </w:r>
          </w:p>
        </w:tc>
      </w:tr>
    </w:tbl>
    <w:p w:rsidR="00F31449" w:rsidRPr="001B14D1" w:rsidRDefault="00F31449" w:rsidP="001B14D1">
      <w:pPr>
        <w:spacing w:after="0" w:line="240" w:lineRule="auto"/>
        <w:ind w:left="66"/>
        <w:rPr>
          <w:rFonts w:asciiTheme="majorHAnsi" w:hAnsiTheme="majorHAnsi" w:cs="Times New Roman"/>
        </w:rPr>
      </w:pPr>
    </w:p>
    <w:sectPr w:rsidR="00F31449" w:rsidRPr="001B14D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52606"/>
    <w:multiLevelType w:val="hybridMultilevel"/>
    <w:tmpl w:val="4042A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96B4F"/>
    <w:multiLevelType w:val="hybridMultilevel"/>
    <w:tmpl w:val="0074C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9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D36BA"/>
    <w:multiLevelType w:val="hybridMultilevel"/>
    <w:tmpl w:val="62DAD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6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8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1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EB4DFE"/>
    <w:multiLevelType w:val="hybridMultilevel"/>
    <w:tmpl w:val="B5E22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6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8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9">
    <w:nsid w:val="777106E5"/>
    <w:multiLevelType w:val="hybridMultilevel"/>
    <w:tmpl w:val="5128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3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24"/>
  </w:num>
  <w:num w:numId="4">
    <w:abstractNumId w:val="43"/>
  </w:num>
  <w:num w:numId="5">
    <w:abstractNumId w:val="27"/>
  </w:num>
  <w:num w:numId="6">
    <w:abstractNumId w:val="3"/>
  </w:num>
  <w:num w:numId="7">
    <w:abstractNumId w:val="31"/>
  </w:num>
  <w:num w:numId="8">
    <w:abstractNumId w:val="15"/>
  </w:num>
  <w:num w:numId="9">
    <w:abstractNumId w:val="26"/>
  </w:num>
  <w:num w:numId="10">
    <w:abstractNumId w:val="16"/>
  </w:num>
  <w:num w:numId="11">
    <w:abstractNumId w:val="7"/>
  </w:num>
  <w:num w:numId="12">
    <w:abstractNumId w:val="21"/>
  </w:num>
  <w:num w:numId="13">
    <w:abstractNumId w:val="34"/>
  </w:num>
  <w:num w:numId="14">
    <w:abstractNumId w:val="13"/>
  </w:num>
  <w:num w:numId="15">
    <w:abstractNumId w:val="4"/>
  </w:num>
  <w:num w:numId="16">
    <w:abstractNumId w:val="23"/>
  </w:num>
  <w:num w:numId="17">
    <w:abstractNumId w:val="41"/>
  </w:num>
  <w:num w:numId="18">
    <w:abstractNumId w:val="10"/>
  </w:num>
  <w:num w:numId="19">
    <w:abstractNumId w:val="29"/>
  </w:num>
  <w:num w:numId="20">
    <w:abstractNumId w:val="22"/>
  </w:num>
  <w:num w:numId="21">
    <w:abstractNumId w:val="19"/>
  </w:num>
  <w:num w:numId="22">
    <w:abstractNumId w:val="38"/>
  </w:num>
  <w:num w:numId="23">
    <w:abstractNumId w:val="40"/>
  </w:num>
  <w:num w:numId="24">
    <w:abstractNumId w:val="28"/>
  </w:num>
  <w:num w:numId="25">
    <w:abstractNumId w:val="0"/>
  </w:num>
  <w:num w:numId="26">
    <w:abstractNumId w:val="44"/>
  </w:num>
  <w:num w:numId="27">
    <w:abstractNumId w:val="17"/>
  </w:num>
  <w:num w:numId="28">
    <w:abstractNumId w:val="30"/>
  </w:num>
  <w:num w:numId="29">
    <w:abstractNumId w:val="11"/>
  </w:num>
  <w:num w:numId="30">
    <w:abstractNumId w:val="9"/>
  </w:num>
  <w:num w:numId="31">
    <w:abstractNumId w:val="36"/>
  </w:num>
  <w:num w:numId="32">
    <w:abstractNumId w:val="42"/>
  </w:num>
  <w:num w:numId="33">
    <w:abstractNumId w:val="12"/>
  </w:num>
  <w:num w:numId="34">
    <w:abstractNumId w:val="35"/>
  </w:num>
  <w:num w:numId="35">
    <w:abstractNumId w:val="25"/>
  </w:num>
  <w:num w:numId="36">
    <w:abstractNumId w:val="8"/>
  </w:num>
  <w:num w:numId="37">
    <w:abstractNumId w:val="37"/>
  </w:num>
  <w:num w:numId="38">
    <w:abstractNumId w:val="20"/>
  </w:num>
  <w:num w:numId="39">
    <w:abstractNumId w:val="2"/>
  </w:num>
  <w:num w:numId="40">
    <w:abstractNumId w:val="18"/>
  </w:num>
  <w:num w:numId="41">
    <w:abstractNumId w:val="5"/>
  </w:num>
  <w:num w:numId="42">
    <w:abstractNumId w:val="33"/>
  </w:num>
  <w:num w:numId="43">
    <w:abstractNumId w:val="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A5185"/>
    <w:rsid w:val="000D113C"/>
    <w:rsid w:val="00113E24"/>
    <w:rsid w:val="00130894"/>
    <w:rsid w:val="00150DC9"/>
    <w:rsid w:val="00162095"/>
    <w:rsid w:val="00195D82"/>
    <w:rsid w:val="001B14D1"/>
    <w:rsid w:val="001D4911"/>
    <w:rsid w:val="001D7B8C"/>
    <w:rsid w:val="002606CD"/>
    <w:rsid w:val="002B0F19"/>
    <w:rsid w:val="002E1907"/>
    <w:rsid w:val="00301BDA"/>
    <w:rsid w:val="0031161E"/>
    <w:rsid w:val="0031396F"/>
    <w:rsid w:val="00365531"/>
    <w:rsid w:val="0036620E"/>
    <w:rsid w:val="00370057"/>
    <w:rsid w:val="00385F77"/>
    <w:rsid w:val="003A5750"/>
    <w:rsid w:val="003A75CB"/>
    <w:rsid w:val="003A762B"/>
    <w:rsid w:val="003F257B"/>
    <w:rsid w:val="003F3D60"/>
    <w:rsid w:val="004254DB"/>
    <w:rsid w:val="00426A10"/>
    <w:rsid w:val="00477356"/>
    <w:rsid w:val="004B63FE"/>
    <w:rsid w:val="004C1AFF"/>
    <w:rsid w:val="004D613E"/>
    <w:rsid w:val="005100E4"/>
    <w:rsid w:val="005147A8"/>
    <w:rsid w:val="0051544D"/>
    <w:rsid w:val="00566B2C"/>
    <w:rsid w:val="00567C74"/>
    <w:rsid w:val="0057554E"/>
    <w:rsid w:val="005B323C"/>
    <w:rsid w:val="005D7018"/>
    <w:rsid w:val="005F1444"/>
    <w:rsid w:val="0060756F"/>
    <w:rsid w:val="00630FB3"/>
    <w:rsid w:val="00640946"/>
    <w:rsid w:val="0067279C"/>
    <w:rsid w:val="006B1D91"/>
    <w:rsid w:val="006B3CB4"/>
    <w:rsid w:val="00716B6A"/>
    <w:rsid w:val="007B27DE"/>
    <w:rsid w:val="007F4177"/>
    <w:rsid w:val="00806155"/>
    <w:rsid w:val="008A5C1D"/>
    <w:rsid w:val="008C2BED"/>
    <w:rsid w:val="00905C1D"/>
    <w:rsid w:val="00912F0F"/>
    <w:rsid w:val="009C795D"/>
    <w:rsid w:val="009D058A"/>
    <w:rsid w:val="009F7A23"/>
    <w:rsid w:val="00A30BF1"/>
    <w:rsid w:val="00A534EC"/>
    <w:rsid w:val="00A758AD"/>
    <w:rsid w:val="00AB1961"/>
    <w:rsid w:val="00B05002"/>
    <w:rsid w:val="00B11A28"/>
    <w:rsid w:val="00B705B5"/>
    <w:rsid w:val="00BF1C3D"/>
    <w:rsid w:val="00BF77D2"/>
    <w:rsid w:val="00C2183C"/>
    <w:rsid w:val="00C40891"/>
    <w:rsid w:val="00C4197C"/>
    <w:rsid w:val="00D3289F"/>
    <w:rsid w:val="00E31278"/>
    <w:rsid w:val="00E55B08"/>
    <w:rsid w:val="00E92623"/>
    <w:rsid w:val="00EA15C2"/>
    <w:rsid w:val="00EF4C6D"/>
    <w:rsid w:val="00F1072B"/>
    <w:rsid w:val="00F22E33"/>
    <w:rsid w:val="00F23809"/>
    <w:rsid w:val="00F27911"/>
    <w:rsid w:val="00F3144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9</cp:revision>
  <cp:lastPrinted>2020-04-19T03:11:00Z</cp:lastPrinted>
  <dcterms:created xsi:type="dcterms:W3CDTF">2020-04-18T06:06:00Z</dcterms:created>
  <dcterms:modified xsi:type="dcterms:W3CDTF">2020-04-19T03:20:00Z</dcterms:modified>
</cp:coreProperties>
</file>