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E2" w:rsidRPr="004F2567" w:rsidRDefault="008E17E2" w:rsidP="008E17E2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6D10D734" wp14:editId="3A1CE066">
            <wp:extent cx="960518" cy="1170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18" cy="117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>SURAT KEPUTUSAN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NOMOR  :  W20-A17/SK.0</w:t>
      </w:r>
      <w:r w:rsidR="00953574">
        <w:rPr>
          <w:rFonts w:asciiTheme="majorHAnsi" w:eastAsia="Malgun Gothic" w:hAnsiTheme="majorHAnsi" w:cs="Malgun Gothic Semilight"/>
          <w:b/>
          <w:sz w:val="24"/>
          <w:szCs w:val="24"/>
        </w:rPr>
        <w:t>32</w:t>
      </w: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>/</w:t>
      </w:r>
      <w:r w:rsidR="00953574">
        <w:rPr>
          <w:rFonts w:asciiTheme="majorHAnsi" w:eastAsia="Malgun Gothic" w:hAnsiTheme="majorHAnsi" w:cs="Malgun Gothic Semilight"/>
          <w:b/>
          <w:sz w:val="24"/>
          <w:szCs w:val="24"/>
        </w:rPr>
        <w:t>KP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.0</w:t>
      </w:r>
      <w:r w:rsidR="00953574">
        <w:rPr>
          <w:rFonts w:asciiTheme="majorHAnsi" w:eastAsia="Malgun Gothic" w:hAnsiTheme="majorHAnsi" w:cs="Malgun Gothic Semilight"/>
          <w:b/>
          <w:sz w:val="24"/>
          <w:szCs w:val="24"/>
        </w:rPr>
        <w:t>2.1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/I/2020</w:t>
      </w:r>
    </w:p>
    <w:p w:rsidR="008E17E2" w:rsidRPr="004F2567" w:rsidRDefault="008E17E2" w:rsidP="008E17E2">
      <w:pPr>
        <w:spacing w:before="24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>TENTANG</w:t>
      </w:r>
    </w:p>
    <w:p w:rsidR="008E17E2" w:rsidRPr="004F2567" w:rsidRDefault="008E17E2" w:rsidP="008E17E2">
      <w:pPr>
        <w:jc w:val="center"/>
        <w:rPr>
          <w:rFonts w:asciiTheme="majorHAnsi" w:hAnsiTheme="majorHAnsi" w:cs="Arial"/>
          <w:b/>
          <w:sz w:val="24"/>
          <w:szCs w:val="24"/>
          <w:lang w:val="en-US"/>
        </w:rPr>
      </w:pPr>
      <w:r w:rsidRPr="004F2567">
        <w:rPr>
          <w:rFonts w:asciiTheme="majorHAnsi" w:hAnsiTheme="majorHAnsi" w:cs="Arial"/>
          <w:b/>
          <w:sz w:val="24"/>
          <w:szCs w:val="24"/>
        </w:rPr>
        <w:t xml:space="preserve">PENUNJUKAN TIM </w:t>
      </w:r>
      <w:r w:rsidR="00953574">
        <w:rPr>
          <w:rFonts w:asciiTheme="majorHAnsi" w:hAnsiTheme="majorHAnsi" w:cs="Arial"/>
          <w:b/>
          <w:sz w:val="24"/>
          <w:szCs w:val="24"/>
        </w:rPr>
        <w:t>REFORMASI BIROKRASI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TAHUN 2020</w:t>
      </w: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</w:p>
    <w:p w:rsidR="008E17E2" w:rsidRPr="004F2567" w:rsidRDefault="008E17E2" w:rsidP="008E17E2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  <w:szCs w:val="24"/>
        </w:rPr>
      </w:pPr>
      <w:r w:rsidRPr="004F2567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8E17E2" w:rsidRPr="004F2567" w:rsidRDefault="008E17E2" w:rsidP="008E17E2">
      <w:p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2"/>
        <w:gridCol w:w="7577"/>
      </w:tblGrid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53574" w:rsidRPr="00953574" w:rsidRDefault="00953574" w:rsidP="009535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Bahwa dalam rangka meningkatkan dan memantapkan pelaksanaan Reformasi Birokrasi di Lingkungan Peradilan Agama, maka perlu membentuk Tim Reformasi Birokrasi pada Pengadilan Agama Selayar dengan Surat Keputusan Ketua Pengadilan Agama Selayar ;</w:t>
            </w:r>
          </w:p>
          <w:p w:rsidR="008E17E2" w:rsidRPr="00953574" w:rsidRDefault="00953574" w:rsidP="009535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Theme="majorHAnsi" w:eastAsia="Malgun Gothic" w:hAnsiTheme="majorHAnsi" w:cs="Malgun Gothic Semilight"/>
                <w:lang w:val="en-US"/>
              </w:rPr>
            </w:pPr>
            <w:r w:rsidRPr="00953574">
              <w:rPr>
                <w:rFonts w:asciiTheme="majorHAnsi" w:hAnsiTheme="majorHAnsi"/>
              </w:rPr>
              <w:t>Bahwa yang namanya tersebut dalam lampiran Surat Keputusan ini dipandang cakap dan mampu untuk ditunjuk sebagai Tim Reformasi Birokrasi pada Pengadilan Agama Selayar Tahun</w:t>
            </w:r>
            <w:r>
              <w:rPr>
                <w:rFonts w:asciiTheme="majorHAnsi" w:hAnsiTheme="majorHAnsi"/>
              </w:rPr>
              <w:t xml:space="preserve"> 2020;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Undang-Undang Nomor 48 Tahun 2009 tentang Kekuasaan Kehakiman;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Undang-Undang Nomor 14 Tahun 1985 tentang Mahkamah Agung sebagaimana telah diubah dan ditambah dengan Undang-Undang Nomor 5 Tahun 2004 terakhir dengan Undang-Undang Nomor 3 Tahun 2009 tentang Mahkamah Agung;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Undang-Undang Nomor 7 Tahun 1989 tentang Peradilan Agama sebagaimana telah diubah dengan Undang-Undang Nomor 3 Tahun 2006 dan Undang-Undang Nomor 50 Tahun 2009;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Undang-Undang Nomor 14 Tahun 2008 tentang Keterbukaan Informasi Publik;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Undang-Undang Nomor 25 Tahun 2009 tentang Pelayanan Publik;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lastRenderedPageBreak/>
              <w:t>Peraturan Pemerintah RI Nomor 21 Tahun 2004 tentang Penyusunan Rencana Kerja dan Anggaran Kementerian Negara/Lembaga;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Peraturan Pemerintah RI Nomor  53 Tahun 2010 tentang Disiplin Pegawai Negeri Sipil;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Peraturan Pemerintah RI Nomor 46 Tahun 2011 tentang Penilaian Prestasi Kerja Pegawai Negeri Sipil;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Instruksi Presiden Nomor 7 Tahun 1999 tentang  Akuntabilitas Kinerja Instansi Pemerintah;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Instruksi Presiden Nomor 5 Tahun 2004 tentang Percepatan Pemberantasan Korupsi;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Keputusan Presiden RI Nomor 21 Tahun 2004 tentang Pengalihan Organisasi, Administrasi dan Finansial di Lingkungan Peradilan Umum, Peradilan Tata Usaha Negara dan Peradilan Agama ke Mahkamah Agung RI;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Keputusan Menteri Negara Pendayagunaan Aparatur Negara Nomor 135 Tahun 2004 tentang Pedoman Umum Akuntabilitas Kinerja;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Peraturan Menteri Negara Pendayagunaan Aparatur Negara dan Reformasi Birokrasi Nomor 29 Tahun 2010 tentang Pedoman Penyusunan Penetapan Kinerja dan Pelaporan Akuntabilitas Kinerja Instansi Pemerintah;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Peraturan Komisi Informasi Nomor 1 Tahun 2010 tentang Standar Layanan Informasi;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Keputusan Ketua Mahkamah Agung RI Nomor KMA/001/SK/I/1991 Tanggal 24 Januari 1991 tentang Pola Pembinaan dan Pengendalian Administrasi Perkara di Lingkungan Peradilan Agama;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Keputusan Ketua Mahkamah Agung RI Nomor 076/KMA/SK/VI/2009 tentang Pedoman Pelayanan Informasi dan Penanganan Pengaduan di Lingkungan Lembaga Peradilan;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Surat Keputusan Ketua Mahkamah Agung RI Bidang Non Yudisial Nomor 01/WKMA-NY/SK/I/2009 tentang Pedoman Pelayanan Informasi pada Mahkamah Agung RI;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Surat Edaran Mahkamah Agung RI Nomor 03 Tahun 2010 tentang Penerimaan Tamu;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Surat Keputusan Ketua Mahkamah Agung RI Nomor 1-144/KMA/SK/I/2011 tentang Pedoman Pelayanan Informasi di Pengadilan;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 xml:space="preserve">Keputusan Ketua Mahkamah Agung RI Nomor KMA/032/SK/IV/2006 </w:t>
            </w:r>
            <w:r w:rsidRPr="00953574">
              <w:rPr>
                <w:rFonts w:asciiTheme="majorHAnsi" w:hAnsiTheme="majorHAnsi"/>
              </w:rPr>
              <w:lastRenderedPageBreak/>
              <w:t>tentang Pemberlakuan Buku II Pedoman Pelaksanaan Tugas dan Administrasi Pengadilan, Edisi Revisi Tahun 2013;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 xml:space="preserve">Peraturan Kepala Badan Kepegawaian Negara Nomor 21 Tahun 2010 tentang Ketentuan Pelaksanaan Peraturan Pemerintah RI Nomor 53 Tahun 2010 tentang Disiplin Pegawai Negeri Sipil; 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Keputusan Sekretaris Mahkamah Agung RI Nomor 202/Sek/SK/I/2011 tentang Petunjuk Pelaksanaan Pembayaran Anggaran Pendapatan dan Belanja Negara di Lingkungan Mahkamah Agung RI dan Badan Peradilan yang Berada di bawahnya di Seluruh Indonesia;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Surat Sekretaris Mahkamah Agung RI Nomor 114-1/SEK/KU.01/3/2012 Tanggal 13 Maret 2012 tentang Reformasi Birokrasi dan Audit Kerja;</w:t>
            </w:r>
          </w:p>
          <w:p w:rsidR="008E17E2" w:rsidRPr="004F2567" w:rsidRDefault="00953574" w:rsidP="0095357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Surat Keputusan Ketua Pengadilan Tinggi Agama Makassar Nomor W20-A/160/OT/01.3/SK/X/2010 tentang Pembentukan Tim Penyusun Revisi Buku Pedoman Kerja Hakim dan Panitera Sewilayah Pengadilan Tinggi Agama Makassar, Edisi Revisi Tahun 2011.</w:t>
            </w:r>
          </w:p>
        </w:tc>
      </w:tr>
      <w:tr w:rsidR="008E17E2" w:rsidRPr="004F2567" w:rsidTr="00D46E68">
        <w:tc>
          <w:tcPr>
            <w:tcW w:w="9242" w:type="dxa"/>
            <w:gridSpan w:val="3"/>
          </w:tcPr>
          <w:p w:rsidR="008E17E2" w:rsidRPr="004F2567" w:rsidRDefault="008E17E2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4F2567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Menetapkan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953574" w:rsidP="00D46E68">
            <w:pPr>
              <w:spacing w:line="360" w:lineRule="auto"/>
              <w:jc w:val="both"/>
              <w:rPr>
                <w:rFonts w:asciiTheme="majorHAnsi" w:hAnsiTheme="majorHAnsi" w:cs="Arial"/>
                <w:b/>
                <w:lang w:val="en-US"/>
              </w:rPr>
            </w:pPr>
            <w:r w:rsidRPr="00953574"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SURAT KEPUTUSAN KETUA PENGADILAN AGAMA SELAYAR TENTANG PEMBENTUKAN TIM REFORMASI BIROKRASI PENGADILAN AGAMA SELAYAR TAHUN </w:t>
            </w:r>
            <w:r w:rsidR="008E17E2">
              <w:rPr>
                <w:rFonts w:asciiTheme="majorHAnsi" w:eastAsia="Malgun Gothic" w:hAnsiTheme="majorHAnsi" w:cs="Malgun Gothic Semilight"/>
                <w:b/>
              </w:rPr>
              <w:t>2020</w:t>
            </w:r>
            <w:r w:rsidR="008E17E2" w:rsidRPr="004F2567">
              <w:rPr>
                <w:rFonts w:asciiTheme="majorHAnsi" w:eastAsia="Malgun Gothic" w:hAnsiTheme="majorHAnsi" w:cs="Malgun Gothic Semilight"/>
              </w:rPr>
              <w:t>;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953574" w:rsidP="00D46E6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eastAsia="Malgun Gothic Semilight" w:hAnsiTheme="majorHAnsi" w:cs="Malgun Gothic Semilight"/>
              </w:rPr>
              <w:t>Membentuk Tim Reformasi Birokrasi Pengadilan Agama Selayar dengan susunan sebagaimana tercantum dalam lampiran surat keputusan ini;</w:t>
            </w:r>
          </w:p>
        </w:tc>
      </w:tr>
      <w:tr w:rsidR="008E17E2" w:rsidRPr="004F2567" w:rsidTr="00D46E68">
        <w:tc>
          <w:tcPr>
            <w:tcW w:w="1383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2" w:type="dxa"/>
          </w:tcPr>
          <w:p w:rsidR="008E17E2" w:rsidRPr="004F2567" w:rsidRDefault="008E17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4F2567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8E17E2" w:rsidRPr="004F2567" w:rsidRDefault="00953574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953574">
              <w:rPr>
                <w:rFonts w:asciiTheme="majorHAnsi" w:eastAsia="Malgun Gothic" w:hAnsiTheme="majorHAnsi" w:cs="Arial"/>
              </w:rPr>
              <w:t>Kepada Tim Reformasi Birokrasi sebagaimana tersebut dalam lampiran Surat Keputusan ini diperintahkan untuk melaksanakan tugas dengan penuh rasa Tanggung Jawab sesuai dengan area tugas dan penilaian yang ditetapkan.</w:t>
            </w:r>
          </w:p>
        </w:tc>
      </w:tr>
      <w:tr w:rsidR="00953574" w:rsidRPr="004F2567" w:rsidTr="00D46E68">
        <w:tc>
          <w:tcPr>
            <w:tcW w:w="1383" w:type="dxa"/>
          </w:tcPr>
          <w:p w:rsidR="00953574" w:rsidRPr="004F2567" w:rsidRDefault="00953574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Ketiga</w:t>
            </w:r>
          </w:p>
        </w:tc>
        <w:tc>
          <w:tcPr>
            <w:tcW w:w="282" w:type="dxa"/>
          </w:tcPr>
          <w:p w:rsidR="00953574" w:rsidRPr="004F2567" w:rsidRDefault="00953574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Kepada Tim Reformasi Birokrasi Pengadilan Agama Selayar yang telah ditunjuk tersebut diperintahkan untuk melaksanakan tugas sebagai berikut :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Menyusun Program Kerja Reformasi Birokrasi.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Menyusun Standar Pelayanan Pengadilan Agama Selayar.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Melengkapi/Menyempurnakan Standar Operational Prosedur (SOP) Pengadilan Agama Selayar.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Menyusun Quisioner Tingkat Kepuasan Masyarakat.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Menyusun Jadwal Kegiatan Reformasi Birokrasi.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Melaksanakan dengan Sebaik-baiknya dan penuh rasa tanggungjawab segala sesuatu yang berkaitan dengan Reformasi Birokrasi.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Mengevaluasi Pelaksanaan Reformasi Birokrasi.</w:t>
            </w:r>
          </w:p>
          <w:p w:rsidR="00953574" w:rsidRPr="00953574" w:rsidRDefault="00953574" w:rsidP="0095357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lastRenderedPageBreak/>
              <w:t>Memberikan penghargaan (Apresiasi) bagi yang berprestasi atas pelaksanaan Reformasi Birokrasi.</w:t>
            </w:r>
          </w:p>
          <w:p w:rsidR="00953574" w:rsidRPr="00953574" w:rsidRDefault="00953574" w:rsidP="00D46E6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Hasil Evaluasi Reformasi Birokrasi setiap tahun dilaporkan ke Pengadilan Tinggi Agama Makassar untuk diteruskan ke Direktur Jenderal Badan Peradilan Agama Mahkamah Agung RI dan Badan Urusan Administrasi Mahkamah Agung RI.</w:t>
            </w:r>
          </w:p>
        </w:tc>
      </w:tr>
      <w:tr w:rsidR="00953574" w:rsidRPr="004F2567" w:rsidTr="00D46E68">
        <w:tc>
          <w:tcPr>
            <w:tcW w:w="1383" w:type="dxa"/>
          </w:tcPr>
          <w:p w:rsidR="00953574" w:rsidRDefault="00953574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lastRenderedPageBreak/>
              <w:t>Keempat</w:t>
            </w:r>
          </w:p>
        </w:tc>
        <w:tc>
          <w:tcPr>
            <w:tcW w:w="282" w:type="dxa"/>
          </w:tcPr>
          <w:p w:rsidR="00953574" w:rsidRDefault="00953574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Surat Keputusan ini mulai berlaku sejak tanggal ditetapkan dengan ketentuan bahwa apabila dikemudian hari ternyata terdapat kekeliruan didalamnya, akan diadakan perbaikan sebagaimana mestinya.</w:t>
            </w:r>
          </w:p>
        </w:tc>
      </w:tr>
    </w:tbl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</w:rPr>
        <w:tab/>
      </w:r>
    </w:p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8E17E2" w:rsidRPr="004F2567" w:rsidTr="00D46E68">
        <w:trPr>
          <w:jc w:val="right"/>
        </w:trPr>
        <w:tc>
          <w:tcPr>
            <w:tcW w:w="1526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8E17E2" w:rsidRPr="004F2567" w:rsidTr="00D46E68">
        <w:trPr>
          <w:jc w:val="right"/>
        </w:trPr>
        <w:tc>
          <w:tcPr>
            <w:tcW w:w="1526" w:type="dxa"/>
          </w:tcPr>
          <w:p w:rsidR="008E17E2" w:rsidRPr="004F2567" w:rsidRDefault="002112C9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3CB704DB" wp14:editId="54421B93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80645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17E2" w:rsidRPr="004F256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02 Januari 2019</w:t>
            </w:r>
          </w:p>
        </w:tc>
      </w:tr>
      <w:tr w:rsidR="008E17E2" w:rsidRPr="004F2567" w:rsidTr="00D46E68">
        <w:trPr>
          <w:jc w:val="right"/>
        </w:trPr>
        <w:tc>
          <w:tcPr>
            <w:tcW w:w="3794" w:type="dxa"/>
            <w:gridSpan w:val="3"/>
          </w:tcPr>
          <w:p w:rsidR="008E17E2" w:rsidRPr="004F2567" w:rsidRDefault="008E17E2" w:rsidP="00D46E68">
            <w:pPr>
              <w:jc w:val="both"/>
              <w:rPr>
                <w:rFonts w:asciiTheme="majorHAnsi" w:hAnsiTheme="majorHAnsi"/>
              </w:rPr>
            </w:pPr>
            <w:r w:rsidRPr="004F2567">
              <w:rPr>
                <w:rFonts w:asciiTheme="majorHAnsi" w:hAnsiTheme="majorHAnsi"/>
              </w:rPr>
              <w:t>Ketua,</w:t>
            </w: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4F2567" w:rsidRDefault="008E17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8E17E2" w:rsidRPr="008D5177" w:rsidRDefault="008E17E2" w:rsidP="008E17E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8E17E2" w:rsidRPr="004F2567" w:rsidRDefault="008E17E2" w:rsidP="008E17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</w:p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  <w:r w:rsidRPr="004F2567">
        <w:rPr>
          <w:rFonts w:asciiTheme="majorHAnsi" w:eastAsia="Malgun Gothic" w:hAnsiTheme="majorHAnsi" w:cs="Malgun Gothic Semilight"/>
        </w:rPr>
        <w:tab/>
      </w:r>
    </w:p>
    <w:p w:rsidR="008E17E2" w:rsidRPr="004F2567" w:rsidRDefault="008E17E2" w:rsidP="008E17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 xml:space="preserve">Tembusan : </w:t>
      </w:r>
    </w:p>
    <w:p w:rsidR="008E17E2" w:rsidRPr="004F2567" w:rsidRDefault="008E17E2" w:rsidP="008E17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>Y.M. Ketua Pengadila</w:t>
      </w:r>
      <w:r>
        <w:rPr>
          <w:rFonts w:asciiTheme="majorHAnsi" w:eastAsia="Malgun Gothic" w:hAnsiTheme="majorHAnsi" w:cs="Malgun Gothic Semilight"/>
          <w:sz w:val="16"/>
          <w:szCs w:val="16"/>
        </w:rPr>
        <w:t>n Tinggi Agama Makassar</w:t>
      </w:r>
      <w:r w:rsidRPr="004F2567">
        <w:rPr>
          <w:rFonts w:asciiTheme="majorHAnsi" w:eastAsia="Malgun Gothic" w:hAnsiTheme="majorHAnsi" w:cs="Malgun Gothic Semilight"/>
          <w:sz w:val="16"/>
          <w:szCs w:val="16"/>
        </w:rPr>
        <w:t>;</w:t>
      </w:r>
    </w:p>
    <w:p w:rsidR="008E17E2" w:rsidRPr="004F2567" w:rsidRDefault="008E17E2" w:rsidP="008E17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4F2567">
        <w:rPr>
          <w:rFonts w:asciiTheme="majorHAnsi" w:eastAsia="Malgun Gothic" w:hAnsiTheme="majorHAnsi" w:cs="Malgun Gothic Semilight"/>
          <w:sz w:val="16"/>
          <w:szCs w:val="16"/>
        </w:rPr>
        <w:t>Arsip</w:t>
      </w:r>
    </w:p>
    <w:p w:rsidR="008E17E2" w:rsidRPr="004F2567" w:rsidRDefault="008E17E2" w:rsidP="008E17E2">
      <w:pPr>
        <w:spacing w:line="360" w:lineRule="auto"/>
        <w:rPr>
          <w:rFonts w:asciiTheme="majorHAnsi" w:hAnsiTheme="majorHAnsi"/>
        </w:rPr>
      </w:pPr>
    </w:p>
    <w:p w:rsidR="008E17E2" w:rsidRPr="004F2567" w:rsidRDefault="008E17E2" w:rsidP="008E17E2"/>
    <w:p w:rsidR="008E17E2" w:rsidRPr="004F2567" w:rsidRDefault="008E17E2" w:rsidP="008E17E2"/>
    <w:p w:rsidR="00953574" w:rsidRDefault="00953574">
      <w:r>
        <w:br w:type="page"/>
      </w:r>
    </w:p>
    <w:tbl>
      <w:tblPr>
        <w:tblStyle w:val="TableGrid1"/>
        <w:tblW w:w="5070" w:type="dxa"/>
        <w:tblInd w:w="436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52"/>
      </w:tblGrid>
      <w:tr w:rsidR="00953574" w:rsidRPr="004F2567" w:rsidTr="007938C9">
        <w:tc>
          <w:tcPr>
            <w:tcW w:w="1134" w:type="dxa"/>
          </w:tcPr>
          <w:p w:rsidR="00953574" w:rsidRPr="004F2567" w:rsidRDefault="00953574" w:rsidP="00953574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52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953574" w:rsidRPr="004F2567" w:rsidTr="007938C9">
        <w:tc>
          <w:tcPr>
            <w:tcW w:w="1134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52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W20-A17/SK.032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KP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>.0</w:t>
            </w:r>
            <w:r>
              <w:rPr>
                <w:rFonts w:asciiTheme="majorHAnsi" w:hAnsiTheme="majorHAnsi"/>
                <w:sz w:val="16"/>
                <w:szCs w:val="16"/>
              </w:rPr>
              <w:t>2.1/I/2020</w:t>
            </w:r>
          </w:p>
        </w:tc>
      </w:tr>
      <w:tr w:rsidR="00953574" w:rsidRPr="004F2567" w:rsidTr="007938C9">
        <w:tc>
          <w:tcPr>
            <w:tcW w:w="1134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52" w:type="dxa"/>
          </w:tcPr>
          <w:p w:rsidR="00953574" w:rsidRPr="004F2567" w:rsidRDefault="00953574" w:rsidP="007938C9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8E17E2" w:rsidRPr="004F2567" w:rsidRDefault="008E17E2" w:rsidP="008E17E2"/>
    <w:p w:rsidR="00953574" w:rsidRPr="00953574" w:rsidRDefault="00953574" w:rsidP="00953574">
      <w:pPr>
        <w:jc w:val="center"/>
        <w:rPr>
          <w:rFonts w:asciiTheme="majorHAnsi" w:hAnsiTheme="majorHAnsi"/>
          <w:b/>
        </w:rPr>
      </w:pPr>
      <w:r w:rsidRPr="00953574">
        <w:rPr>
          <w:rFonts w:asciiTheme="majorHAnsi" w:hAnsiTheme="majorHAnsi"/>
          <w:b/>
        </w:rPr>
        <w:t>TENTANG</w:t>
      </w:r>
    </w:p>
    <w:p w:rsidR="00953574" w:rsidRPr="00953574" w:rsidRDefault="00953574" w:rsidP="00953574">
      <w:pPr>
        <w:jc w:val="center"/>
        <w:rPr>
          <w:rFonts w:asciiTheme="majorHAnsi" w:hAnsiTheme="majorHAnsi"/>
          <w:b/>
        </w:rPr>
      </w:pPr>
      <w:r w:rsidRPr="00953574">
        <w:rPr>
          <w:rFonts w:asciiTheme="majorHAnsi" w:hAnsiTheme="majorHAnsi"/>
          <w:b/>
        </w:rPr>
        <w:t xml:space="preserve">PEMBENTUKAN TIM REFORMASI BIROKRASI </w:t>
      </w:r>
    </w:p>
    <w:p w:rsidR="00953574" w:rsidRPr="00953574" w:rsidRDefault="00953574" w:rsidP="00953574">
      <w:pPr>
        <w:jc w:val="center"/>
        <w:rPr>
          <w:rFonts w:asciiTheme="majorHAnsi" w:hAnsiTheme="majorHAnsi"/>
          <w:b/>
        </w:rPr>
      </w:pPr>
      <w:r w:rsidRPr="00953574">
        <w:rPr>
          <w:rFonts w:asciiTheme="majorHAnsi" w:hAnsiTheme="majorHAnsi"/>
          <w:b/>
        </w:rPr>
        <w:t xml:space="preserve">PADA PENGADILAN AGAMA SELAYAR TAHUN </w:t>
      </w:r>
      <w:r w:rsidR="00F73F75">
        <w:rPr>
          <w:rFonts w:asciiTheme="majorHAnsi" w:hAnsiTheme="majorHAnsi"/>
          <w:b/>
        </w:rPr>
        <w:t>2020</w:t>
      </w:r>
    </w:p>
    <w:tbl>
      <w:tblPr>
        <w:tblW w:w="971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3669"/>
        <w:gridCol w:w="3373"/>
        <w:gridCol w:w="2126"/>
      </w:tblGrid>
      <w:tr w:rsidR="00953574" w:rsidRPr="00953574" w:rsidTr="007938C9">
        <w:trPr>
          <w:trHeight w:val="255"/>
        </w:trPr>
        <w:tc>
          <w:tcPr>
            <w:tcW w:w="546" w:type="dxa"/>
            <w:vMerge w:val="restart"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3669" w:type="dxa"/>
            <w:vMerge w:val="restart"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5499" w:type="dxa"/>
            <w:gridSpan w:val="2"/>
            <w:vAlign w:val="center"/>
          </w:tcPr>
          <w:p w:rsidR="00953574" w:rsidRPr="00953574" w:rsidRDefault="00953574" w:rsidP="007938C9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JABATAN</w:t>
            </w:r>
          </w:p>
        </w:tc>
      </w:tr>
      <w:tr w:rsidR="00953574" w:rsidRPr="00953574" w:rsidTr="007938C9">
        <w:trPr>
          <w:trHeight w:val="255"/>
        </w:trPr>
        <w:tc>
          <w:tcPr>
            <w:tcW w:w="546" w:type="dxa"/>
            <w:vMerge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669" w:type="dxa"/>
            <w:vMerge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373" w:type="dxa"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DALAM KEDINASAN</w:t>
            </w:r>
          </w:p>
        </w:tc>
        <w:tc>
          <w:tcPr>
            <w:tcW w:w="2126" w:type="dxa"/>
          </w:tcPr>
          <w:p w:rsidR="00953574" w:rsidRPr="00953574" w:rsidRDefault="00953574" w:rsidP="007938C9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DALAM TIM</w:t>
            </w:r>
          </w:p>
        </w:tc>
      </w:tr>
      <w:tr w:rsidR="00953574" w:rsidRPr="00953574" w:rsidTr="007938C9">
        <w:trPr>
          <w:trHeight w:val="318"/>
        </w:trPr>
        <w:tc>
          <w:tcPr>
            <w:tcW w:w="546" w:type="dxa"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3669" w:type="dxa"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3373" w:type="dxa"/>
            <w:vAlign w:val="center"/>
          </w:tcPr>
          <w:p w:rsidR="00953574" w:rsidRPr="00953574" w:rsidRDefault="00953574" w:rsidP="007938C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2126" w:type="dxa"/>
          </w:tcPr>
          <w:p w:rsidR="00953574" w:rsidRPr="00953574" w:rsidRDefault="00953574" w:rsidP="007938C9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</w:rPr>
            </w:pPr>
            <w:r w:rsidRPr="00953574">
              <w:rPr>
                <w:rFonts w:asciiTheme="majorHAnsi" w:hAnsiTheme="majorHAnsi"/>
                <w:b/>
              </w:rPr>
              <w:t>4</w:t>
            </w:r>
          </w:p>
        </w:tc>
      </w:tr>
      <w:tr w:rsidR="00953574" w:rsidRPr="00953574" w:rsidTr="007938C9">
        <w:tc>
          <w:tcPr>
            <w:tcW w:w="546" w:type="dxa"/>
          </w:tcPr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1.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2.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3.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4.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5.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6.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7.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8.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9.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10.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11.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12.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669" w:type="dxa"/>
          </w:tcPr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Abdul Rahman Salam, S.Ag., M.H.</w:t>
            </w:r>
          </w:p>
          <w:p w:rsid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Mustamin, Lc.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Mawir, S.HI.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Drs. H. Mustari M.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Hj. Asni Amin, S.HI.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Drs. Baharuddin.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Nurhaedah, S.Ag.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Jalaluddin, S.Ag., M.H.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Andi Bobby, S.Kom.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Muhammad Rizaldy, S.H.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Irwan Azis, S.Kom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Syahruni Syamsu Umar, S.H.</w:t>
            </w:r>
          </w:p>
        </w:tc>
        <w:tc>
          <w:tcPr>
            <w:tcW w:w="3373" w:type="dxa"/>
          </w:tcPr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Ketua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Wakil Ketua</w:t>
            </w:r>
          </w:p>
          <w:p w:rsid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Hakim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Panitera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Sekretaris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Panitera Muda Gugatan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Panitera Muda Permohonan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Panitera Muda Hukum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Kasubag Umum dan Keuangan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Kasubag Kepegawaian, Ortala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Kasubag PTI</w:t>
            </w:r>
            <w:r>
              <w:rPr>
                <w:rFonts w:asciiTheme="majorHAnsi" w:hAnsiTheme="majorHAnsi"/>
              </w:rPr>
              <w:t>P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Staf</w:t>
            </w:r>
          </w:p>
        </w:tc>
        <w:tc>
          <w:tcPr>
            <w:tcW w:w="2126" w:type="dxa"/>
          </w:tcPr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Pembina/Pengarah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Penanggungjawab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Ketua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Sekretaris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  <w:p w:rsidR="00953574" w:rsidRPr="00953574" w:rsidRDefault="00953574" w:rsidP="00953574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/>
              </w:rPr>
            </w:pPr>
            <w:r w:rsidRPr="00953574">
              <w:rPr>
                <w:rFonts w:asciiTheme="majorHAnsi" w:hAnsiTheme="majorHAnsi"/>
              </w:rPr>
              <w:t>Anggota</w:t>
            </w:r>
          </w:p>
        </w:tc>
      </w:tr>
    </w:tbl>
    <w:p w:rsidR="008E17E2" w:rsidRPr="004F2567" w:rsidRDefault="002112C9" w:rsidP="008E17E2">
      <w:r>
        <w:rPr>
          <w:rFonts w:asciiTheme="majorHAnsi" w:eastAsia="Malgun Gothic Semilight" w:hAnsiTheme="majorHAnsi" w:cs="Times New Roman"/>
          <w:noProof/>
        </w:rPr>
        <w:drawing>
          <wp:anchor distT="0" distB="0" distL="114300" distR="114300" simplePos="0" relativeHeight="251661312" behindDoc="0" locked="0" layoutInCell="1" allowOverlap="1" wp14:anchorId="515DEB64" wp14:editId="1B1C4C19">
            <wp:simplePos x="0" y="0"/>
            <wp:positionH relativeFrom="column">
              <wp:posOffset>3622040</wp:posOffset>
            </wp:positionH>
            <wp:positionV relativeFrom="paragraph">
              <wp:posOffset>280670</wp:posOffset>
            </wp:positionV>
            <wp:extent cx="1742440" cy="1105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7E2" w:rsidRPr="004F256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 w:rsidRPr="004F2567">
        <w:rPr>
          <w:rFonts w:asciiTheme="majorHAnsi" w:hAnsiTheme="majorHAnsi"/>
        </w:rPr>
        <w:t>Ketua,</w:t>
      </w: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  <w:bookmarkStart w:id="0" w:name="_GoBack"/>
      <w:bookmarkEnd w:id="0"/>
    </w:p>
    <w:p w:rsidR="008E17E2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4F2567" w:rsidRDefault="008E17E2" w:rsidP="008E17E2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8E17E2" w:rsidRPr="008D5177" w:rsidRDefault="008E17E2" w:rsidP="008E17E2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Abdul Rahman Salam, S.Ag.,M.H.</w:t>
      </w:r>
    </w:p>
    <w:p w:rsidR="008E17E2" w:rsidRPr="004F2567" w:rsidRDefault="008E17E2" w:rsidP="008E17E2">
      <w:pPr>
        <w:spacing w:after="0" w:line="240" w:lineRule="auto"/>
        <w:ind w:left="5040" w:firstLine="720"/>
      </w:pPr>
      <w:r>
        <w:rPr>
          <w:rFonts w:asciiTheme="majorHAnsi" w:hAnsiTheme="majorHAnsi"/>
        </w:rPr>
        <w:t>NIP. 19730212 199903 1 001</w:t>
      </w:r>
    </w:p>
    <w:p w:rsidR="008E17E2" w:rsidRPr="004F2567" w:rsidRDefault="008E17E2" w:rsidP="008E17E2"/>
    <w:p w:rsidR="008E17E2" w:rsidRPr="004F2567" w:rsidRDefault="008E17E2" w:rsidP="008E17E2">
      <w:pPr>
        <w:rPr>
          <w:rFonts w:asciiTheme="majorHAnsi" w:hAnsiTheme="majorHAnsi"/>
        </w:rPr>
      </w:pPr>
    </w:p>
    <w:p w:rsidR="008E17E2" w:rsidRPr="004F2567" w:rsidRDefault="008E17E2" w:rsidP="008E17E2">
      <w:pPr>
        <w:tabs>
          <w:tab w:val="left" w:pos="1080"/>
        </w:tabs>
      </w:pPr>
      <w:r w:rsidRPr="004F2567">
        <w:tab/>
      </w:r>
    </w:p>
    <w:sectPr w:rsidR="008E17E2" w:rsidRPr="004F2567" w:rsidSect="005D5A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0CF"/>
    <w:multiLevelType w:val="hybridMultilevel"/>
    <w:tmpl w:val="8A2A0048"/>
    <w:lvl w:ilvl="0" w:tplc="53289D72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5BE4EB5"/>
    <w:multiLevelType w:val="hybridMultilevel"/>
    <w:tmpl w:val="78CE06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38B0"/>
    <w:multiLevelType w:val="hybridMultilevel"/>
    <w:tmpl w:val="01D49D4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8E14FF3"/>
    <w:multiLevelType w:val="hybridMultilevel"/>
    <w:tmpl w:val="A18C170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>
      <w:start w:val="1"/>
      <w:numFmt w:val="lowerLetter"/>
      <w:lvlText w:val="%5."/>
      <w:lvlJc w:val="left"/>
      <w:pPr>
        <w:ind w:left="4026" w:hanging="360"/>
      </w:pPr>
    </w:lvl>
    <w:lvl w:ilvl="5" w:tplc="0421001B">
      <w:start w:val="1"/>
      <w:numFmt w:val="lowerRoman"/>
      <w:lvlText w:val="%6."/>
      <w:lvlJc w:val="right"/>
      <w:pPr>
        <w:ind w:left="4746" w:hanging="180"/>
      </w:pPr>
    </w:lvl>
    <w:lvl w:ilvl="6" w:tplc="0421000F">
      <w:start w:val="1"/>
      <w:numFmt w:val="decimal"/>
      <w:lvlText w:val="%7."/>
      <w:lvlJc w:val="left"/>
      <w:pPr>
        <w:ind w:left="5466" w:hanging="360"/>
      </w:pPr>
    </w:lvl>
    <w:lvl w:ilvl="7" w:tplc="04210019">
      <w:start w:val="1"/>
      <w:numFmt w:val="lowerLetter"/>
      <w:lvlText w:val="%8."/>
      <w:lvlJc w:val="left"/>
      <w:pPr>
        <w:ind w:left="6186" w:hanging="360"/>
      </w:pPr>
    </w:lvl>
    <w:lvl w:ilvl="8" w:tplc="0421001B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B4A761B"/>
    <w:multiLevelType w:val="hybridMultilevel"/>
    <w:tmpl w:val="E4D2D8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C1484"/>
    <w:multiLevelType w:val="hybridMultilevel"/>
    <w:tmpl w:val="7304C556"/>
    <w:lvl w:ilvl="0" w:tplc="063A517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D4179A"/>
    <w:multiLevelType w:val="hybridMultilevel"/>
    <w:tmpl w:val="33B633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E2481"/>
    <w:multiLevelType w:val="hybridMultilevel"/>
    <w:tmpl w:val="48B826A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E2"/>
    <w:rsid w:val="0001209C"/>
    <w:rsid w:val="0006426B"/>
    <w:rsid w:val="001700E9"/>
    <w:rsid w:val="00197D2C"/>
    <w:rsid w:val="002112C9"/>
    <w:rsid w:val="002645D3"/>
    <w:rsid w:val="002743D5"/>
    <w:rsid w:val="002960FF"/>
    <w:rsid w:val="003477F6"/>
    <w:rsid w:val="003F40C8"/>
    <w:rsid w:val="003F6C73"/>
    <w:rsid w:val="004316B1"/>
    <w:rsid w:val="004C1FB5"/>
    <w:rsid w:val="004E6D3C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17E2"/>
    <w:rsid w:val="008E5BA3"/>
    <w:rsid w:val="00953574"/>
    <w:rsid w:val="00A2251F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  <w:rsid w:val="00F73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7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7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E1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cp:lastPrinted>2020-04-19T03:15:00Z</cp:lastPrinted>
  <dcterms:created xsi:type="dcterms:W3CDTF">2020-03-10T02:28:00Z</dcterms:created>
  <dcterms:modified xsi:type="dcterms:W3CDTF">2020-04-19T03:20:00Z</dcterms:modified>
</cp:coreProperties>
</file>