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055BA9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055BA9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055BA9">
        <w:rPr>
          <w:rFonts w:asciiTheme="majorHAnsi" w:eastAsia="Malgun Gothic Semilight" w:hAnsiTheme="majorHAnsi" w:cs="Times New Roman"/>
          <w:b/>
          <w:sz w:val="24"/>
          <w:szCs w:val="24"/>
        </w:rPr>
        <w:t>0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055BA9">
        <w:rPr>
          <w:rFonts w:asciiTheme="majorHAnsi" w:eastAsia="Malgun Gothic Semilight" w:hAnsiTheme="majorHAnsi" w:cs="Times New Roman"/>
          <w:b/>
          <w:sz w:val="24"/>
          <w:szCs w:val="24"/>
        </w:rPr>
        <w:t>HK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</w:t>
      </w:r>
      <w:r w:rsidR="00055BA9">
        <w:rPr>
          <w:rFonts w:asciiTheme="majorHAnsi" w:eastAsia="Malgun Gothic Semilight" w:hAnsiTheme="majorHAnsi" w:cs="Times New Roman"/>
          <w:b/>
          <w:sz w:val="24"/>
          <w:szCs w:val="24"/>
        </w:rPr>
        <w:t>5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Default="00A85250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PENUNJUKAN MEDIATOR</w:t>
      </w:r>
    </w:p>
    <w:p w:rsidR="00F8558F" w:rsidRPr="00567C74" w:rsidRDefault="00F23809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A758AD" w:rsidRDefault="00A758AD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ANGGARAN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567C74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055BA9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055BA9" w:rsidP="00566B2C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8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Untuk menjamin kinerja dan penyelesaian perkara yang optimal dan maksimal yang menjadi tuntutan terpenuhinya peradilan yang cepat, sederhana dan biaya ringan dan tanggung jawab, maka dipandang perlu untuk </w:t>
            </w:r>
            <w:r w:rsidR="00A85250">
              <w:rPr>
                <w:rFonts w:asciiTheme="majorHAnsi" w:hAnsiTheme="majorHAnsi"/>
              </w:rPr>
              <w:t>menunjuk</w:t>
            </w:r>
            <w:r>
              <w:rPr>
                <w:rFonts w:asciiTheme="majorHAnsi" w:hAnsiTheme="majorHAnsi"/>
              </w:rPr>
              <w:t xml:space="preserve"> </w:t>
            </w:r>
            <w:r w:rsidR="00A85250">
              <w:rPr>
                <w:rFonts w:asciiTheme="majorHAnsi" w:hAnsiTheme="majorHAnsi"/>
              </w:rPr>
              <w:t xml:space="preserve">Mediator pada 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 Pengadilan Agama Selayar</w:t>
            </w:r>
            <w:r w:rsidR="00566B2C" w:rsidRPr="00566B2C">
              <w:rPr>
                <w:rFonts w:asciiTheme="majorHAnsi" w:hAnsiTheme="majorHAnsi"/>
              </w:rPr>
              <w:t xml:space="preserve">; </w:t>
            </w:r>
          </w:p>
          <w:p w:rsidR="00567C74" w:rsidRPr="005D7018" w:rsidRDefault="005B37FC" w:rsidP="005B37FC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-18"/>
              <w:jc w:val="both"/>
              <w:rPr>
                <w:rFonts w:ascii="Arial" w:hAnsi="Arial"/>
                <w:sz w:val="20"/>
                <w:szCs w:val="20"/>
              </w:rPr>
            </w:pPr>
            <w:r w:rsidRPr="005B37FC">
              <w:rPr>
                <w:rFonts w:asciiTheme="majorHAnsi" w:hAnsiTheme="majorHAnsi"/>
              </w:rPr>
              <w:t>Bahwa berdasarkan pertimbangan sebagaimana yang dimaksud pada huruf a di atas, perlu menetapkan Surat Keputusan tentang Pembentukan Majelis Hakim pada Pengadilan Agama Selayar</w:t>
            </w:r>
            <w:r w:rsidR="00566B2C" w:rsidRPr="00566B2C"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>Reglement Buitengewesten (RBg);</w:t>
            </w:r>
          </w:p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>Undang-Undang Nomor 48 Tahun 2009 tentang Kekuasaan Kehakiman;</w:t>
            </w:r>
          </w:p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>Undang-Undang Nomor 3 tahun 2009 tentang Perubahan Kedua atas Undang-Undang Nomor 14 tahun 1985 tentang Mahkamah Agung;</w:t>
            </w:r>
          </w:p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>Undang-Undang Nomor 50 tahun 2009 tentang Perubahan Kedua atas Undang-Undang Nomor 7 tahun 1989 tentang Peradilan Agama;</w:t>
            </w:r>
          </w:p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>Pasal 93 Undang-Undang Nomor 7 Tahun 1989 tentang Peradilan Agama;</w:t>
            </w:r>
          </w:p>
          <w:p w:rsidR="005B37FC" w:rsidRPr="005B37FC" w:rsidRDefault="005B37FC" w:rsidP="005B37F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 xml:space="preserve">Keputusan Ketua Mahkamah Agung RI. Nomor: KMA/001/SK.1991 </w:t>
            </w:r>
            <w:r w:rsidRPr="005B37FC">
              <w:rPr>
                <w:rFonts w:asciiTheme="majorHAnsi" w:hAnsiTheme="majorHAnsi"/>
              </w:rPr>
              <w:lastRenderedPageBreak/>
              <w:t xml:space="preserve">tentang Pola Pembinaan dan Pengendalian Administrasi Perkara; </w:t>
            </w:r>
          </w:p>
          <w:p w:rsidR="007F4177" w:rsidRPr="00806155" w:rsidRDefault="005B37FC" w:rsidP="005B37FC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5B37FC">
              <w:rPr>
                <w:rFonts w:asciiTheme="majorHAnsi" w:hAnsiTheme="majorHAnsi"/>
              </w:rPr>
              <w:t>Surat Keputusan Ketua Ketua Mahkamah Agung RI. Nomor: KMA/032/SK/IV/2006 tentang Pemberlakuan Buku II Pedoman Pelaksanaan Tugas dan Administrasi Pengadilan</w:t>
            </w:r>
            <w:r w:rsidR="00566B2C" w:rsidRPr="005B37FC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905C1D" w:rsidRDefault="00905C1D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3A762B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05C1D" w:rsidRDefault="005B37FC" w:rsidP="00905C1D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>SURAT KEPUTUSAN KETUA PENGADILAN AGAMA SELAYAR TENTANG PEMBENTUKAN MAJELIS HAKIM PADA PENGADILAN AGAMA SELAYAR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 xml:space="preserve"> TAHUN ANGGARAN 2020</w:t>
            </w:r>
            <w:r w:rsidRPr="005B37FC">
              <w:rPr>
                <w:rFonts w:asciiTheme="majorHAnsi" w:hAnsiTheme="majorHAnsi" w:cs="Arial"/>
                <w:b/>
                <w:bCs/>
                <w:szCs w:val="18"/>
              </w:rPr>
              <w:t>;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7F4177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7F4177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5B37FC" w:rsidP="00566B2C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  <w:szCs w:val="18"/>
              </w:rPr>
              <w:t>Membentuk Majelis Hakim pada Pengadilan Agama Selayar dengan susunan sebagaimana tersebut dalam lampiran Surat Keputusan ini;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566B2C" w:rsidRDefault="00566B2C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5B37FC" w:rsidP="00EA15C2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5B37FC">
              <w:rPr>
                <w:rFonts w:asciiTheme="majorHAnsi" w:hAnsiTheme="majorHAnsi" w:cs="Arial"/>
                <w:szCs w:val="18"/>
              </w:rPr>
              <w:t>Majelis Hakim sebagaimana tersebut pada diktum pertama diatas, agar melaksanakan tugas dengan penuh rasa tanggung jawab;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F8558F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566B2C" w:rsidRDefault="00566B2C" w:rsidP="00F8558F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5B37FC" w:rsidP="00566B2C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5B37FC">
              <w:rPr>
                <w:rFonts w:asciiTheme="majorHAnsi" w:hAnsiTheme="majorHAnsi" w:cs="Arial"/>
                <w:szCs w:val="18"/>
              </w:rPr>
              <w:t>Surat Keputusan ini mulai berlaku pada tanggal ditetapkan dengan ketentuan apabila dikemudian hari terdapat kekeliruan didalamnya, akan diadakan perbaikan sebagaimana mestinya.</w:t>
            </w:r>
          </w:p>
        </w:tc>
      </w:tr>
    </w:tbl>
    <w:p w:rsidR="005D7018" w:rsidRDefault="005D701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B37F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B37F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5B37F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B37FC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>Salinan keputusan ini disampaikan kepada 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437523" w:rsidRDefault="00437523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lastRenderedPageBreak/>
        <w:t xml:space="preserve">LAMPIRAN I SURAT KEPUTUSAN </w:t>
      </w:r>
    </w:p>
    <w:p w:rsidR="00437523" w:rsidRPr="00544654" w:rsidRDefault="00437523" w:rsidP="00437523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>: W20-A17/SK.1</w:t>
      </w:r>
      <w:r>
        <w:rPr>
          <w:rFonts w:asciiTheme="majorHAnsi" w:hAnsiTheme="majorHAnsi" w:cs="Times New Roman"/>
          <w:sz w:val="16"/>
        </w:rPr>
        <w:t>10</w:t>
      </w:r>
      <w:r w:rsidRPr="00544654">
        <w:rPr>
          <w:rFonts w:asciiTheme="majorHAnsi" w:hAnsiTheme="majorHAnsi" w:cs="Times New Roman"/>
          <w:sz w:val="16"/>
        </w:rPr>
        <w:t>/</w:t>
      </w:r>
      <w:r>
        <w:rPr>
          <w:rFonts w:asciiTheme="majorHAnsi" w:hAnsiTheme="majorHAnsi" w:cs="Times New Roman"/>
          <w:sz w:val="16"/>
        </w:rPr>
        <w:t>HK</w:t>
      </w:r>
      <w:r w:rsidRPr="00544654">
        <w:rPr>
          <w:rFonts w:asciiTheme="majorHAnsi" w:hAnsiTheme="majorHAnsi" w:cs="Times New Roman"/>
          <w:sz w:val="16"/>
        </w:rPr>
        <w:t>.0</w:t>
      </w:r>
      <w:r>
        <w:rPr>
          <w:rFonts w:asciiTheme="majorHAnsi" w:hAnsiTheme="majorHAnsi" w:cs="Times New Roman"/>
          <w:sz w:val="16"/>
        </w:rPr>
        <w:t>5</w:t>
      </w:r>
      <w:r w:rsidRPr="00544654">
        <w:rPr>
          <w:rFonts w:asciiTheme="majorHAnsi" w:hAnsiTheme="majorHAnsi" w:cs="Times New Roman"/>
          <w:sz w:val="16"/>
        </w:rPr>
        <w:t>/I/2020</w:t>
      </w:r>
    </w:p>
    <w:p w:rsidR="00437523" w:rsidRPr="00544654" w:rsidRDefault="00437523" w:rsidP="00437523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>: 02 JANUARI 2020</w:t>
      </w:r>
    </w:p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437523" w:rsidRPr="00437523" w:rsidRDefault="00437523" w:rsidP="00AE166F">
      <w:pPr>
        <w:pStyle w:val="ListParagraph"/>
        <w:spacing w:after="0"/>
        <w:ind w:left="0"/>
        <w:jc w:val="center"/>
        <w:rPr>
          <w:rFonts w:asciiTheme="majorHAnsi" w:hAnsiTheme="majorHAnsi"/>
          <w:b/>
          <w:szCs w:val="20"/>
        </w:rPr>
      </w:pPr>
      <w:r w:rsidRPr="00437523">
        <w:rPr>
          <w:rFonts w:asciiTheme="majorHAnsi" w:hAnsiTheme="majorHAnsi"/>
          <w:b/>
          <w:szCs w:val="20"/>
        </w:rPr>
        <w:t xml:space="preserve">SUSUNAN MAJELIS HAKIM </w:t>
      </w:r>
    </w:p>
    <w:p w:rsidR="00437523" w:rsidRPr="00437523" w:rsidRDefault="00437523" w:rsidP="00AE166F">
      <w:pPr>
        <w:pStyle w:val="ListParagraph"/>
        <w:spacing w:after="0"/>
        <w:ind w:left="0"/>
        <w:jc w:val="center"/>
        <w:rPr>
          <w:rFonts w:asciiTheme="majorHAnsi" w:hAnsiTheme="majorHAnsi"/>
          <w:b/>
          <w:szCs w:val="20"/>
        </w:rPr>
      </w:pPr>
      <w:r w:rsidRPr="00437523">
        <w:rPr>
          <w:rFonts w:asciiTheme="majorHAnsi" w:hAnsiTheme="majorHAnsi"/>
          <w:b/>
          <w:szCs w:val="20"/>
        </w:rPr>
        <w:t>PENGADILAN AGAMA SELAYAR</w:t>
      </w:r>
    </w:p>
    <w:p w:rsidR="00437523" w:rsidRDefault="00437523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W w:w="9770" w:type="dxa"/>
        <w:jc w:val="center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314"/>
        <w:gridCol w:w="983"/>
        <w:gridCol w:w="3354"/>
        <w:gridCol w:w="2745"/>
        <w:gridCol w:w="858"/>
      </w:tblGrid>
      <w:tr w:rsidR="00437523" w:rsidRPr="00437523" w:rsidTr="00437523">
        <w:trPr>
          <w:jc w:val="center"/>
        </w:trPr>
        <w:tc>
          <w:tcPr>
            <w:tcW w:w="516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37523">
              <w:rPr>
                <w:rFonts w:asciiTheme="majorHAnsi" w:hAnsiTheme="majorHAnsi"/>
                <w:b/>
                <w:sz w:val="20"/>
                <w:szCs w:val="20"/>
              </w:rPr>
              <w:t>NO</w:t>
            </w:r>
          </w:p>
        </w:tc>
        <w:tc>
          <w:tcPr>
            <w:tcW w:w="1314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37523">
              <w:rPr>
                <w:rFonts w:asciiTheme="majorHAnsi" w:hAnsiTheme="majorHAnsi"/>
                <w:b/>
                <w:sz w:val="20"/>
                <w:szCs w:val="20"/>
              </w:rPr>
              <w:t>HARI</w:t>
            </w:r>
          </w:p>
        </w:tc>
        <w:tc>
          <w:tcPr>
            <w:tcW w:w="983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37523">
              <w:rPr>
                <w:rFonts w:asciiTheme="majorHAnsi" w:hAnsiTheme="majorHAnsi"/>
                <w:b/>
                <w:sz w:val="20"/>
                <w:szCs w:val="20"/>
              </w:rPr>
              <w:t>NAMA MAJELIS</w:t>
            </w:r>
          </w:p>
        </w:tc>
        <w:tc>
          <w:tcPr>
            <w:tcW w:w="3354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37523">
              <w:rPr>
                <w:rFonts w:asciiTheme="majorHAnsi" w:hAnsiTheme="majorHAnsi"/>
                <w:b/>
                <w:sz w:val="20"/>
                <w:szCs w:val="20"/>
              </w:rPr>
              <w:t>SUSUNAN MAJELIS</w:t>
            </w:r>
          </w:p>
        </w:tc>
        <w:tc>
          <w:tcPr>
            <w:tcW w:w="2745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37523">
              <w:rPr>
                <w:rFonts w:asciiTheme="majorHAnsi" w:hAnsiTheme="majorHAnsi"/>
                <w:b/>
                <w:sz w:val="20"/>
                <w:szCs w:val="20"/>
              </w:rPr>
              <w:t>PANITERA PENGGANTI</w:t>
            </w:r>
          </w:p>
        </w:tc>
        <w:tc>
          <w:tcPr>
            <w:tcW w:w="858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37523">
              <w:rPr>
                <w:rFonts w:asciiTheme="majorHAnsi" w:hAnsiTheme="majorHAnsi"/>
                <w:b/>
                <w:sz w:val="20"/>
                <w:szCs w:val="20"/>
              </w:rPr>
              <w:t>KODE</w:t>
            </w:r>
          </w:p>
        </w:tc>
      </w:tr>
      <w:tr w:rsidR="00437523" w:rsidRPr="00437523" w:rsidTr="00AE166F">
        <w:trPr>
          <w:trHeight w:val="2701"/>
          <w:jc w:val="center"/>
        </w:trPr>
        <w:tc>
          <w:tcPr>
            <w:tcW w:w="516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1.</w:t>
            </w:r>
          </w:p>
        </w:tc>
        <w:tc>
          <w:tcPr>
            <w:tcW w:w="1314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Selasa</w:t>
            </w:r>
            <w:r>
              <w:rPr>
                <w:rFonts w:asciiTheme="majorHAnsi" w:hAnsiTheme="majorHAnsi"/>
                <w:sz w:val="20"/>
                <w:szCs w:val="20"/>
              </w:rPr>
              <w:t>,</w:t>
            </w:r>
            <w:r w:rsidRPr="00437523">
              <w:rPr>
                <w:rFonts w:asciiTheme="majorHAnsi" w:hAnsiTheme="majorHAnsi"/>
                <w:sz w:val="20"/>
                <w:szCs w:val="20"/>
              </w:rPr>
              <w:t xml:space="preserve"> Rabu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dan Kamis</w:t>
            </w:r>
          </w:p>
        </w:tc>
        <w:tc>
          <w:tcPr>
            <w:tcW w:w="983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A</w:t>
            </w:r>
          </w:p>
        </w:tc>
        <w:tc>
          <w:tcPr>
            <w:tcW w:w="3354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0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437523" w:rsidRPr="00437523" w:rsidRDefault="00437523" w:rsidP="00437523">
            <w:pPr>
              <w:pStyle w:val="ListParagraph"/>
              <w:numPr>
                <w:ilvl w:val="0"/>
                <w:numId w:val="38"/>
              </w:numPr>
              <w:spacing w:after="0"/>
              <w:ind w:left="335" w:hanging="218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Abdul Rahman Salam, S.Ag., M.H.</w:t>
            </w:r>
          </w:p>
          <w:p w:rsidR="00437523" w:rsidRPr="00437523" w:rsidRDefault="00437523" w:rsidP="00437523">
            <w:pPr>
              <w:pStyle w:val="ListParagraph"/>
              <w:numPr>
                <w:ilvl w:val="0"/>
                <w:numId w:val="38"/>
              </w:numPr>
              <w:spacing w:after="0"/>
              <w:ind w:left="335" w:hanging="218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Mustamin, Lc</w:t>
            </w:r>
          </w:p>
          <w:p w:rsidR="00437523" w:rsidRPr="00437523" w:rsidRDefault="00437523" w:rsidP="00437523">
            <w:pPr>
              <w:pStyle w:val="ListParagraph"/>
              <w:numPr>
                <w:ilvl w:val="0"/>
                <w:numId w:val="38"/>
              </w:numPr>
              <w:spacing w:after="0"/>
              <w:ind w:left="335" w:hanging="218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Mawir, S.HI., M.H.</w:t>
            </w:r>
          </w:p>
          <w:p w:rsidR="00437523" w:rsidRPr="00437523" w:rsidRDefault="00437523" w:rsidP="00437523">
            <w:pPr>
              <w:pStyle w:val="ListParagraph"/>
              <w:spacing w:after="0"/>
              <w:ind w:left="335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745" w:type="dxa"/>
            <w:vAlign w:val="center"/>
          </w:tcPr>
          <w:p w:rsidR="00437523" w:rsidRPr="00437523" w:rsidRDefault="00437523" w:rsidP="00437523">
            <w:pPr>
              <w:pStyle w:val="ListParagraph"/>
              <w:numPr>
                <w:ilvl w:val="0"/>
                <w:numId w:val="40"/>
              </w:numPr>
              <w:spacing w:after="0"/>
              <w:ind w:left="369" w:hanging="284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Drs. H. Mustari M</w:t>
            </w:r>
          </w:p>
          <w:p w:rsidR="00437523" w:rsidRPr="00437523" w:rsidRDefault="00437523" w:rsidP="00437523">
            <w:pPr>
              <w:pStyle w:val="ListParagraph"/>
              <w:numPr>
                <w:ilvl w:val="0"/>
                <w:numId w:val="40"/>
              </w:numPr>
              <w:spacing w:after="0"/>
              <w:ind w:left="369" w:hanging="284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Drs. Baharuddin</w:t>
            </w:r>
          </w:p>
          <w:p w:rsidR="00437523" w:rsidRPr="00437523" w:rsidRDefault="00437523" w:rsidP="00437523">
            <w:pPr>
              <w:pStyle w:val="ListParagraph"/>
              <w:numPr>
                <w:ilvl w:val="0"/>
                <w:numId w:val="40"/>
              </w:numPr>
              <w:spacing w:after="0"/>
              <w:ind w:left="369" w:hanging="284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Nurhaedah, S.Ag.</w:t>
            </w:r>
          </w:p>
          <w:p w:rsidR="00437523" w:rsidRPr="00437523" w:rsidRDefault="00437523" w:rsidP="00437523">
            <w:pPr>
              <w:pStyle w:val="ListParagraph"/>
              <w:numPr>
                <w:ilvl w:val="0"/>
                <w:numId w:val="40"/>
              </w:numPr>
              <w:spacing w:after="0"/>
              <w:ind w:left="369" w:hanging="284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H. Jalaluddin, S.Ag., M.H.</w:t>
            </w:r>
          </w:p>
        </w:tc>
        <w:tc>
          <w:tcPr>
            <w:tcW w:w="858" w:type="dxa"/>
            <w:vAlign w:val="center"/>
          </w:tcPr>
          <w:p w:rsidR="00437523" w:rsidRPr="00437523" w:rsidRDefault="00437523" w:rsidP="00437523">
            <w:pPr>
              <w:pStyle w:val="ListParagraph"/>
              <w:spacing w:after="0"/>
              <w:ind w:left="134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D</w:t>
            </w:r>
          </w:p>
          <w:p w:rsidR="00437523" w:rsidRPr="00437523" w:rsidRDefault="00437523" w:rsidP="00437523">
            <w:pPr>
              <w:pStyle w:val="ListParagraph"/>
              <w:spacing w:after="0"/>
              <w:ind w:left="134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D1</w:t>
            </w:r>
          </w:p>
          <w:p w:rsidR="00437523" w:rsidRPr="00437523" w:rsidRDefault="00437523" w:rsidP="00437523">
            <w:pPr>
              <w:pStyle w:val="ListParagraph"/>
              <w:spacing w:after="0"/>
              <w:ind w:left="134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D2</w:t>
            </w:r>
          </w:p>
          <w:p w:rsidR="00437523" w:rsidRPr="00437523" w:rsidRDefault="00437523" w:rsidP="00437523">
            <w:pPr>
              <w:pStyle w:val="ListParagraph"/>
              <w:spacing w:after="0"/>
              <w:ind w:left="134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37523">
              <w:rPr>
                <w:rFonts w:asciiTheme="majorHAnsi" w:hAnsiTheme="majorHAnsi"/>
                <w:sz w:val="20"/>
                <w:szCs w:val="20"/>
              </w:rPr>
              <w:t>D3</w:t>
            </w:r>
          </w:p>
        </w:tc>
      </w:tr>
    </w:tbl>
    <w:p w:rsidR="00437523" w:rsidRDefault="00437523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AE166F" w:rsidRDefault="00AE166F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AE166F" w:rsidRPr="00F975A6" w:rsidTr="007A2C74">
        <w:trPr>
          <w:jc w:val="right"/>
        </w:trPr>
        <w:tc>
          <w:tcPr>
            <w:tcW w:w="1605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AE166F" w:rsidRPr="00F975A6" w:rsidTr="007A2C74">
        <w:trPr>
          <w:jc w:val="right"/>
        </w:trPr>
        <w:tc>
          <w:tcPr>
            <w:tcW w:w="1605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AE166F" w:rsidRPr="00F975A6" w:rsidTr="007A2C74">
        <w:trPr>
          <w:jc w:val="right"/>
        </w:trPr>
        <w:tc>
          <w:tcPr>
            <w:tcW w:w="3794" w:type="dxa"/>
            <w:gridSpan w:val="3"/>
          </w:tcPr>
          <w:p w:rsidR="00AE166F" w:rsidRPr="00F975A6" w:rsidRDefault="00AE166F" w:rsidP="007A2C7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Pr="00F975A6">
              <w:rPr>
                <w:rFonts w:asciiTheme="majorHAnsi" w:hAnsiTheme="majorHAnsi"/>
              </w:rPr>
              <w:t>,</w:t>
            </w: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E166F" w:rsidRPr="00F975A6" w:rsidRDefault="00AE166F" w:rsidP="007A2C74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AE166F" w:rsidRPr="00C95C25" w:rsidRDefault="00AE166F" w:rsidP="007A2C74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AE166F" w:rsidRPr="00F8558F" w:rsidRDefault="00AE166F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AE166F" w:rsidRPr="00F8558F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D52C9"/>
    <w:multiLevelType w:val="hybridMultilevel"/>
    <w:tmpl w:val="4B904826"/>
    <w:lvl w:ilvl="0" w:tplc="0421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">
    <w:nsid w:val="0872310F"/>
    <w:multiLevelType w:val="hybridMultilevel"/>
    <w:tmpl w:val="B198BF90"/>
    <w:lvl w:ilvl="0" w:tplc="0421000F">
      <w:start w:val="1"/>
      <w:numFmt w:val="decimal"/>
      <w:lvlText w:val="%1."/>
      <w:lvlJc w:val="left"/>
      <w:pPr>
        <w:ind w:left="964" w:hanging="360"/>
      </w:pPr>
    </w:lvl>
    <w:lvl w:ilvl="1" w:tplc="04210019" w:tentative="1">
      <w:start w:val="1"/>
      <w:numFmt w:val="lowerLetter"/>
      <w:lvlText w:val="%2."/>
      <w:lvlJc w:val="left"/>
      <w:pPr>
        <w:ind w:left="1684" w:hanging="360"/>
      </w:pPr>
    </w:lvl>
    <w:lvl w:ilvl="2" w:tplc="0421001B" w:tentative="1">
      <w:start w:val="1"/>
      <w:numFmt w:val="lowerRoman"/>
      <w:lvlText w:val="%3."/>
      <w:lvlJc w:val="right"/>
      <w:pPr>
        <w:ind w:left="2404" w:hanging="180"/>
      </w:pPr>
    </w:lvl>
    <w:lvl w:ilvl="3" w:tplc="0421000F" w:tentative="1">
      <w:start w:val="1"/>
      <w:numFmt w:val="decimal"/>
      <w:lvlText w:val="%4."/>
      <w:lvlJc w:val="left"/>
      <w:pPr>
        <w:ind w:left="3124" w:hanging="360"/>
      </w:pPr>
    </w:lvl>
    <w:lvl w:ilvl="4" w:tplc="04210019" w:tentative="1">
      <w:start w:val="1"/>
      <w:numFmt w:val="lowerLetter"/>
      <w:lvlText w:val="%5."/>
      <w:lvlJc w:val="left"/>
      <w:pPr>
        <w:ind w:left="3844" w:hanging="360"/>
      </w:pPr>
    </w:lvl>
    <w:lvl w:ilvl="5" w:tplc="0421001B" w:tentative="1">
      <w:start w:val="1"/>
      <w:numFmt w:val="lowerRoman"/>
      <w:lvlText w:val="%6."/>
      <w:lvlJc w:val="right"/>
      <w:pPr>
        <w:ind w:left="4564" w:hanging="180"/>
      </w:pPr>
    </w:lvl>
    <w:lvl w:ilvl="6" w:tplc="0421000F" w:tentative="1">
      <w:start w:val="1"/>
      <w:numFmt w:val="decimal"/>
      <w:lvlText w:val="%7."/>
      <w:lvlJc w:val="left"/>
      <w:pPr>
        <w:ind w:left="5284" w:hanging="360"/>
      </w:pPr>
    </w:lvl>
    <w:lvl w:ilvl="7" w:tplc="04210019" w:tentative="1">
      <w:start w:val="1"/>
      <w:numFmt w:val="lowerLetter"/>
      <w:lvlText w:val="%8."/>
      <w:lvlJc w:val="left"/>
      <w:pPr>
        <w:ind w:left="6004" w:hanging="360"/>
      </w:pPr>
    </w:lvl>
    <w:lvl w:ilvl="8" w:tplc="0421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A25FD"/>
    <w:multiLevelType w:val="hybridMultilevel"/>
    <w:tmpl w:val="2E7A8E5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0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6C47A5"/>
    <w:multiLevelType w:val="hybridMultilevel"/>
    <w:tmpl w:val="5C965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3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5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2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4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7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8">
    <w:nsid w:val="7DEF1E9A"/>
    <w:multiLevelType w:val="hybridMultilevel"/>
    <w:tmpl w:val="E4D2DC00"/>
    <w:lvl w:ilvl="0" w:tplc="A81003F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5" w:hanging="360"/>
      </w:pPr>
    </w:lvl>
    <w:lvl w:ilvl="2" w:tplc="0421001B" w:tentative="1">
      <w:start w:val="1"/>
      <w:numFmt w:val="lowerRoman"/>
      <w:lvlText w:val="%3."/>
      <w:lvlJc w:val="right"/>
      <w:pPr>
        <w:ind w:left="2135" w:hanging="180"/>
      </w:pPr>
    </w:lvl>
    <w:lvl w:ilvl="3" w:tplc="0421000F" w:tentative="1">
      <w:start w:val="1"/>
      <w:numFmt w:val="decimal"/>
      <w:lvlText w:val="%4."/>
      <w:lvlJc w:val="left"/>
      <w:pPr>
        <w:ind w:left="2855" w:hanging="360"/>
      </w:pPr>
    </w:lvl>
    <w:lvl w:ilvl="4" w:tplc="04210019" w:tentative="1">
      <w:start w:val="1"/>
      <w:numFmt w:val="lowerLetter"/>
      <w:lvlText w:val="%5."/>
      <w:lvlJc w:val="left"/>
      <w:pPr>
        <w:ind w:left="3575" w:hanging="360"/>
      </w:pPr>
    </w:lvl>
    <w:lvl w:ilvl="5" w:tplc="0421001B" w:tentative="1">
      <w:start w:val="1"/>
      <w:numFmt w:val="lowerRoman"/>
      <w:lvlText w:val="%6."/>
      <w:lvlJc w:val="right"/>
      <w:pPr>
        <w:ind w:left="4295" w:hanging="180"/>
      </w:pPr>
    </w:lvl>
    <w:lvl w:ilvl="6" w:tplc="0421000F" w:tentative="1">
      <w:start w:val="1"/>
      <w:numFmt w:val="decimal"/>
      <w:lvlText w:val="%7."/>
      <w:lvlJc w:val="left"/>
      <w:pPr>
        <w:ind w:left="5015" w:hanging="360"/>
      </w:pPr>
    </w:lvl>
    <w:lvl w:ilvl="7" w:tplc="04210019" w:tentative="1">
      <w:start w:val="1"/>
      <w:numFmt w:val="lowerLetter"/>
      <w:lvlText w:val="%8."/>
      <w:lvlJc w:val="left"/>
      <w:pPr>
        <w:ind w:left="5735" w:hanging="360"/>
      </w:pPr>
    </w:lvl>
    <w:lvl w:ilvl="8" w:tplc="0421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39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2"/>
  </w:num>
  <w:num w:numId="3">
    <w:abstractNumId w:val="21"/>
  </w:num>
  <w:num w:numId="4">
    <w:abstractNumId w:val="37"/>
  </w:num>
  <w:num w:numId="5">
    <w:abstractNumId w:val="24"/>
  </w:num>
  <w:num w:numId="6">
    <w:abstractNumId w:val="3"/>
  </w:num>
  <w:num w:numId="7">
    <w:abstractNumId w:val="28"/>
  </w:num>
  <w:num w:numId="8">
    <w:abstractNumId w:val="13"/>
  </w:num>
  <w:num w:numId="9">
    <w:abstractNumId w:val="23"/>
  </w:num>
  <w:num w:numId="10">
    <w:abstractNumId w:val="14"/>
  </w:num>
  <w:num w:numId="11">
    <w:abstractNumId w:val="6"/>
  </w:num>
  <w:num w:numId="12">
    <w:abstractNumId w:val="18"/>
  </w:num>
  <w:num w:numId="13">
    <w:abstractNumId w:val="30"/>
  </w:num>
  <w:num w:numId="14">
    <w:abstractNumId w:val="11"/>
  </w:num>
  <w:num w:numId="15">
    <w:abstractNumId w:val="5"/>
  </w:num>
  <w:num w:numId="16">
    <w:abstractNumId w:val="20"/>
  </w:num>
  <w:num w:numId="17">
    <w:abstractNumId w:val="35"/>
  </w:num>
  <w:num w:numId="18">
    <w:abstractNumId w:val="8"/>
  </w:num>
  <w:num w:numId="19">
    <w:abstractNumId w:val="26"/>
  </w:num>
  <w:num w:numId="20">
    <w:abstractNumId w:val="19"/>
  </w:num>
  <w:num w:numId="21">
    <w:abstractNumId w:val="16"/>
  </w:num>
  <w:num w:numId="22">
    <w:abstractNumId w:val="33"/>
  </w:num>
  <w:num w:numId="23">
    <w:abstractNumId w:val="34"/>
  </w:num>
  <w:num w:numId="24">
    <w:abstractNumId w:val="25"/>
  </w:num>
  <w:num w:numId="25">
    <w:abstractNumId w:val="0"/>
  </w:num>
  <w:num w:numId="26">
    <w:abstractNumId w:val="39"/>
  </w:num>
  <w:num w:numId="27">
    <w:abstractNumId w:val="15"/>
  </w:num>
  <w:num w:numId="28">
    <w:abstractNumId w:val="27"/>
  </w:num>
  <w:num w:numId="29">
    <w:abstractNumId w:val="9"/>
  </w:num>
  <w:num w:numId="30">
    <w:abstractNumId w:val="7"/>
  </w:num>
  <w:num w:numId="31">
    <w:abstractNumId w:val="32"/>
  </w:num>
  <w:num w:numId="32">
    <w:abstractNumId w:val="36"/>
  </w:num>
  <w:num w:numId="33">
    <w:abstractNumId w:val="10"/>
  </w:num>
  <w:num w:numId="34">
    <w:abstractNumId w:val="31"/>
  </w:num>
  <w:num w:numId="35">
    <w:abstractNumId w:val="22"/>
  </w:num>
  <w:num w:numId="36">
    <w:abstractNumId w:val="2"/>
  </w:num>
  <w:num w:numId="37">
    <w:abstractNumId w:val="4"/>
  </w:num>
  <w:num w:numId="38">
    <w:abstractNumId w:val="17"/>
  </w:num>
  <w:num w:numId="39">
    <w:abstractNumId w:val="3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D113C"/>
    <w:rsid w:val="00150DC9"/>
    <w:rsid w:val="00195D82"/>
    <w:rsid w:val="001D7B8C"/>
    <w:rsid w:val="00253FC6"/>
    <w:rsid w:val="002606CD"/>
    <w:rsid w:val="00365531"/>
    <w:rsid w:val="00370057"/>
    <w:rsid w:val="00385F77"/>
    <w:rsid w:val="003A5750"/>
    <w:rsid w:val="003A762B"/>
    <w:rsid w:val="00437523"/>
    <w:rsid w:val="0051544D"/>
    <w:rsid w:val="00566B2C"/>
    <w:rsid w:val="00567C74"/>
    <w:rsid w:val="005B37FC"/>
    <w:rsid w:val="005D7018"/>
    <w:rsid w:val="0060756F"/>
    <w:rsid w:val="00716B6A"/>
    <w:rsid w:val="007B27DE"/>
    <w:rsid w:val="007F4177"/>
    <w:rsid w:val="00806155"/>
    <w:rsid w:val="00863B70"/>
    <w:rsid w:val="00905C1D"/>
    <w:rsid w:val="009C795D"/>
    <w:rsid w:val="009D058A"/>
    <w:rsid w:val="00A355C8"/>
    <w:rsid w:val="00A534EC"/>
    <w:rsid w:val="00A758AD"/>
    <w:rsid w:val="00A85250"/>
    <w:rsid w:val="00AB1961"/>
    <w:rsid w:val="00AE166F"/>
    <w:rsid w:val="00C2183C"/>
    <w:rsid w:val="00EA15C2"/>
    <w:rsid w:val="00F1072B"/>
    <w:rsid w:val="00F23809"/>
    <w:rsid w:val="00F51AD3"/>
    <w:rsid w:val="00F53F66"/>
    <w:rsid w:val="00F65DDD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3</cp:revision>
  <cp:lastPrinted>2020-01-23T14:02:00Z</cp:lastPrinted>
  <dcterms:created xsi:type="dcterms:W3CDTF">2020-01-23T14:46:00Z</dcterms:created>
  <dcterms:modified xsi:type="dcterms:W3CDTF">2020-01-23T14:47:00Z</dcterms:modified>
</cp:coreProperties>
</file>