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6D" w:rsidRPr="007C3649" w:rsidRDefault="00746F24" w:rsidP="0086086D">
      <w:pPr>
        <w:spacing w:line="360" w:lineRule="auto"/>
        <w:jc w:val="center"/>
        <w:rPr>
          <w:rFonts w:asciiTheme="majorHAnsi" w:eastAsia="Malgun Gothic Semilight" w:hAnsiTheme="majorHAnsi" w:cs="Malgun Gothic Semilight"/>
        </w:rPr>
      </w:pPr>
      <w:r>
        <w:rPr>
          <w:rFonts w:asciiTheme="majorHAnsi" w:eastAsia="Malgun Gothic Semilight" w:hAnsiTheme="majorHAnsi" w:cs="Malgun Gothic Semilight"/>
        </w:rPr>
        <w:t>÷</w:t>
      </w:r>
      <w:r w:rsidR="0086086D" w:rsidRPr="007C3649">
        <w:rPr>
          <w:rFonts w:asciiTheme="majorHAnsi" w:eastAsia="Malgun Gothic Semilight" w:hAnsiTheme="majorHAnsi" w:cs="Malgun Gothic Semilight"/>
          <w:noProof/>
        </w:rPr>
        <w:drawing>
          <wp:inline distT="0" distB="0" distL="0" distR="0" wp14:anchorId="5005B356" wp14:editId="05BDC9A1">
            <wp:extent cx="1030214" cy="1255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14" cy="12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6D" w:rsidRPr="009E23A2" w:rsidRDefault="0086086D" w:rsidP="0086086D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9E23A2">
        <w:rPr>
          <w:rFonts w:asciiTheme="majorHAnsi" w:eastAsia="Malgun Gothic Semilight" w:hAnsiTheme="majorHAnsi" w:cs="Malgun Gothic Semilight"/>
          <w:b/>
          <w:sz w:val="24"/>
          <w:szCs w:val="24"/>
        </w:rPr>
        <w:t>SURAT KEPUTUSAN</w:t>
      </w:r>
    </w:p>
    <w:p w:rsidR="0086086D" w:rsidRPr="009E23A2" w:rsidRDefault="0086086D" w:rsidP="0086086D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9E23A2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86086D" w:rsidRPr="009E23A2" w:rsidRDefault="0086086D" w:rsidP="0086086D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NOMOR  :  W20-A</w:t>
      </w:r>
      <w:r w:rsidR="00746F24">
        <w:rPr>
          <w:rFonts w:asciiTheme="majorHAnsi" w:eastAsia="Malgun Gothic Semilight" w:hAnsiTheme="majorHAnsi" w:cs="Malgun Gothic Semilight"/>
          <w:b/>
          <w:sz w:val="24"/>
          <w:szCs w:val="24"/>
        </w:rPr>
        <w:t>17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/SK.117/HM.00</w:t>
      </w:r>
      <w:r w:rsidRPr="009E23A2">
        <w:rPr>
          <w:rFonts w:asciiTheme="majorHAnsi" w:eastAsia="Malgun Gothic Semilight" w:hAnsiTheme="majorHAnsi" w:cs="Malgun Gothic Semilight"/>
          <w:b/>
          <w:sz w:val="24"/>
          <w:szCs w:val="24"/>
        </w:rPr>
        <w:t>/I/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2020</w:t>
      </w:r>
    </w:p>
    <w:p w:rsidR="0086086D" w:rsidRPr="009E23A2" w:rsidRDefault="0086086D" w:rsidP="0086086D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9E23A2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86086D" w:rsidRPr="009E23A2" w:rsidRDefault="0086086D" w:rsidP="0086086D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9E23A2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JENIS INFORMASI DI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86086D" w:rsidRPr="009E23A2" w:rsidRDefault="0086086D" w:rsidP="0086086D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9E23A2"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  <w:t xml:space="preserve">TAHUN </w:t>
      </w:r>
      <w:r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  <w:t>2020</w:t>
      </w:r>
    </w:p>
    <w:p w:rsidR="0086086D" w:rsidRPr="009E23A2" w:rsidRDefault="0086086D" w:rsidP="0086086D">
      <w:pPr>
        <w:spacing w:after="0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86086D" w:rsidRPr="009E23A2" w:rsidRDefault="0086086D" w:rsidP="0086086D">
      <w:pPr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9E23A2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2"/>
        <w:gridCol w:w="94"/>
        <w:gridCol w:w="189"/>
        <w:gridCol w:w="7433"/>
      </w:tblGrid>
      <w:tr w:rsidR="0086086D" w:rsidRPr="007C3649" w:rsidTr="00D46E68">
        <w:tc>
          <w:tcPr>
            <w:tcW w:w="152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3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33" w:type="dxa"/>
          </w:tcPr>
          <w:p w:rsidR="0086086D" w:rsidRPr="007C3649" w:rsidRDefault="0086086D" w:rsidP="00D46E6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 xml:space="preserve">Bahwa keterbukaan dan pelayanan informasi yang efektif dan efisien merupakan bagian dari komitmen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7C3649">
              <w:rPr>
                <w:rFonts w:asciiTheme="majorHAnsi" w:eastAsia="Malgun Gothic Semilight" w:hAnsiTheme="majorHAnsi" w:cs="Malgun Gothic Semilight"/>
              </w:rPr>
              <w:t xml:space="preserve"> dalam melaksanakan reformasi birokrasi di lingkungan Mahkamah Agung Republik Indonesia dalam empat lingkungan peradilan dibawahnya;</w:t>
            </w:r>
          </w:p>
          <w:p w:rsidR="0086086D" w:rsidRPr="007C3649" w:rsidRDefault="0086086D" w:rsidP="008D197B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left="357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 xml:space="preserve">Bahwa untuk keterbukaan dan pelayanan informasi di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7C3649">
              <w:rPr>
                <w:rFonts w:asciiTheme="majorHAnsi" w:eastAsia="Malgun Gothic Semilight" w:hAnsiTheme="majorHAnsi" w:cs="Malgun Gothic Semilight"/>
              </w:rPr>
              <w:t xml:space="preserve"> perlu ditentukan jenis-jenis informasi;</w:t>
            </w:r>
          </w:p>
        </w:tc>
      </w:tr>
      <w:tr w:rsidR="0086086D" w:rsidRPr="007C3649" w:rsidTr="00D46E68">
        <w:tc>
          <w:tcPr>
            <w:tcW w:w="152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Mengingat</w:t>
            </w:r>
          </w:p>
        </w:tc>
        <w:tc>
          <w:tcPr>
            <w:tcW w:w="283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33" w:type="dxa"/>
          </w:tcPr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Undang-Undang Nomor 48 Tahun 2009 tentang Kekuasaan Kehakiman;</w:t>
            </w:r>
          </w:p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Undang-Undang Nomor 7 Tahun 1989 jo Undang-Undang  Nomor 3 Tahun 2006 jo Undang-Undang Nomor 50 Tahun 2009 tentang Peradilan Agama;</w:t>
            </w:r>
          </w:p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Undang-Undang Nomor 25 Tahun 2009 tentang Pelayanan Publik;</w:t>
            </w:r>
          </w:p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Undang-Undang Nomor 14 Tahun 2008 tentang Keterbukaan Informasi Publik;</w:t>
            </w:r>
          </w:p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Peraturan Komisi Informasi Nomor 1 Tahun 2010 tentang Standar Layanan Informasi Publik;</w:t>
            </w:r>
          </w:p>
          <w:p w:rsidR="0086086D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Keputusan Ketua Mahkamah Agung RI Nomor : 144/KMA/SK/VIII/2007 jo 1-144/KMA/SK/I/2011 tentang Pedoman Pelayanan Informasi di Pengadilan;</w:t>
            </w:r>
          </w:p>
          <w:p w:rsidR="008D197B" w:rsidRDefault="008D197B" w:rsidP="008D197B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  <w:p w:rsidR="008D197B" w:rsidRPr="008D197B" w:rsidRDefault="008D197B" w:rsidP="008D197B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lastRenderedPageBreak/>
              <w:t>Keputusan Ketua Mahkamah Agung RI Nomor : 076/KMA/SK/VI/2009 tentang Pedoman Pelaksanaan Penanganan Pengaduan di Lingkungan Lembaga Peradilan;</w:t>
            </w:r>
          </w:p>
          <w:p w:rsidR="0086086D" w:rsidRPr="009E23A2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Surat Keputusan Wakil Ketua Mahkamah Agung RI Bidang Non Yudisial Nomor : 01/WKMA-NY/SK/I/2009 tentang Pedoman Pelayanan Informasi pada Mahkamah Agung RI;</w:t>
            </w:r>
          </w:p>
          <w:p w:rsidR="0086086D" w:rsidRPr="007C3649" w:rsidRDefault="0086086D" w:rsidP="00D46E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Surat Keputusan Direktur Jenderal Badan Peradilan Agama Mahkamah Agung RI Nomor : 17/DjA/SK/VII/2011 tentang Pedoman Pelayanan Meja Informasi di Lingkungan Peradilan Agama;</w:t>
            </w:r>
          </w:p>
        </w:tc>
      </w:tr>
      <w:tr w:rsidR="0086086D" w:rsidRPr="007C3649" w:rsidTr="00D46E68">
        <w:tc>
          <w:tcPr>
            <w:tcW w:w="9242" w:type="dxa"/>
            <w:gridSpan w:val="5"/>
          </w:tcPr>
          <w:p w:rsidR="0086086D" w:rsidRDefault="0086086D" w:rsidP="00D46E68">
            <w:pPr>
              <w:spacing w:before="240"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7C3649">
              <w:rPr>
                <w:rFonts w:asciiTheme="majorHAnsi" w:eastAsia="Malgun Gothic Semilight" w:hAnsiTheme="majorHAnsi" w:cs="Malgun Gothic Semilight"/>
                <w:b/>
              </w:rPr>
              <w:lastRenderedPageBreak/>
              <w:t>MEMUTUSKAN</w:t>
            </w:r>
          </w:p>
          <w:p w:rsidR="008D197B" w:rsidRPr="007C3649" w:rsidRDefault="008D197B" w:rsidP="008D197B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</w:p>
        </w:tc>
      </w:tr>
      <w:tr w:rsidR="0086086D" w:rsidRPr="007C3649" w:rsidTr="00D46E68">
        <w:trPr>
          <w:trHeight w:val="354"/>
        </w:trPr>
        <w:tc>
          <w:tcPr>
            <w:tcW w:w="1384" w:type="dxa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Menetapkan</w:t>
            </w:r>
          </w:p>
        </w:tc>
        <w:tc>
          <w:tcPr>
            <w:tcW w:w="23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622" w:type="dxa"/>
            <w:gridSpan w:val="2"/>
          </w:tcPr>
          <w:p w:rsidR="0086086D" w:rsidRPr="007C3649" w:rsidRDefault="00746F24" w:rsidP="008D197B">
            <w:pPr>
              <w:spacing w:after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eastAsia="Malgun Gothic Semilight" w:hAnsiTheme="majorHAnsi" w:cs="Malgun Gothic Semilight"/>
                <w:b/>
              </w:rPr>
              <w:t xml:space="preserve">SURAT </w:t>
            </w:r>
            <w:r w:rsidRPr="007C3649">
              <w:rPr>
                <w:rFonts w:asciiTheme="majorHAnsi" w:eastAsia="Malgun Gothic Semilight" w:hAnsiTheme="majorHAnsi" w:cs="Malgun Gothic Semilight"/>
                <w:b/>
              </w:rPr>
              <w:t xml:space="preserve">KEPUTUSAN KETUA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 w:rsidRPr="007C3649">
              <w:rPr>
                <w:rFonts w:asciiTheme="majorHAnsi" w:eastAsia="Malgun Gothic Semilight" w:hAnsiTheme="majorHAnsi" w:cs="Malgun Gothic Semilight"/>
                <w:b/>
              </w:rPr>
              <w:t xml:space="preserve"> TENTANG JENIS INFORMASI DI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 TAHUN 2020</w:t>
            </w:r>
          </w:p>
        </w:tc>
      </w:tr>
      <w:tr w:rsidR="0086086D" w:rsidRPr="007C3649" w:rsidTr="00D46E68">
        <w:tc>
          <w:tcPr>
            <w:tcW w:w="1384" w:type="dxa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Pertama</w:t>
            </w:r>
          </w:p>
        </w:tc>
        <w:tc>
          <w:tcPr>
            <w:tcW w:w="23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622" w:type="dxa"/>
            <w:gridSpan w:val="2"/>
          </w:tcPr>
          <w:p w:rsidR="0086086D" w:rsidRPr="007C3649" w:rsidRDefault="00746F24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 xml:space="preserve">Bahwa jenis-jenis informasi di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7C3649">
              <w:rPr>
                <w:rFonts w:asciiTheme="majorHAnsi" w:eastAsia="Malgun Gothic Semilight" w:hAnsiTheme="majorHAnsi" w:cs="Malgun Gothic Semilight"/>
              </w:rPr>
              <w:t xml:space="preserve"> sebagaimana termuat dalam lampiran surat keputusan ini;</w:t>
            </w:r>
          </w:p>
        </w:tc>
      </w:tr>
      <w:tr w:rsidR="0086086D" w:rsidRPr="007C3649" w:rsidTr="00D46E68">
        <w:tc>
          <w:tcPr>
            <w:tcW w:w="1384" w:type="dxa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3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622" w:type="dxa"/>
            <w:gridSpan w:val="2"/>
          </w:tcPr>
          <w:p w:rsidR="0086086D" w:rsidRPr="007C3649" w:rsidRDefault="00746F24" w:rsidP="00746F24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Semua biaya yang timbul dari keputusan ini dibebankan kepada anggaran Pen</w:t>
            </w:r>
            <w:r>
              <w:rPr>
                <w:rFonts w:asciiTheme="majorHAnsi" w:eastAsia="Malgun Gothic Semilight" w:hAnsiTheme="majorHAnsi" w:cs="Malgun Gothic Semilight"/>
              </w:rPr>
              <w:t xml:space="preserve">gadilan Agama Selayar </w:t>
            </w:r>
            <w:r>
              <w:rPr>
                <w:rFonts w:asciiTheme="majorHAnsi" w:eastAsia="Malgun Gothic Semilight" w:hAnsiTheme="majorHAnsi" w:cs="Malgun Gothic Semilight"/>
              </w:rPr>
              <w:t>T</w:t>
            </w:r>
            <w:r>
              <w:rPr>
                <w:rFonts w:asciiTheme="majorHAnsi" w:eastAsia="Malgun Gothic Semilight" w:hAnsiTheme="majorHAnsi" w:cs="Malgun Gothic Semilight"/>
              </w:rPr>
              <w:t>ahun 2020</w:t>
            </w:r>
            <w:r w:rsidRPr="007C3649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86086D" w:rsidRPr="007C3649" w:rsidTr="00D46E68">
        <w:tc>
          <w:tcPr>
            <w:tcW w:w="1384" w:type="dxa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3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622" w:type="dxa"/>
            <w:gridSpan w:val="2"/>
          </w:tcPr>
          <w:p w:rsidR="0086086D" w:rsidRPr="007C3649" w:rsidRDefault="00746F24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7C3649">
              <w:rPr>
                <w:rFonts w:asciiTheme="majorHAnsi" w:eastAsia="Malgun Gothic Semilight" w:hAnsiTheme="majorHAnsi" w:cs="Malgun Gothic Semilight"/>
              </w:rPr>
              <w:t>Surat Keputusan ini mulai berlaku sejak ditetapkan, dengan ketentuan apabila ada kekeliruan dalam Surat Keputusan ini akan diadakan perbaikan sebagaimana mestinya.</w:t>
            </w:r>
          </w:p>
        </w:tc>
      </w:tr>
      <w:tr w:rsidR="0086086D" w:rsidRPr="007C3649" w:rsidTr="00D46E68">
        <w:tc>
          <w:tcPr>
            <w:tcW w:w="1384" w:type="dxa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  <w:tc>
          <w:tcPr>
            <w:tcW w:w="236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  <w:tc>
          <w:tcPr>
            <w:tcW w:w="7622" w:type="dxa"/>
            <w:gridSpan w:val="2"/>
          </w:tcPr>
          <w:p w:rsidR="0086086D" w:rsidRPr="007C3649" w:rsidRDefault="0086086D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</w:tr>
    </w:tbl>
    <w:p w:rsidR="0086086D" w:rsidRPr="00005ACE" w:rsidRDefault="0086086D" w:rsidP="0086086D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7C3649">
        <w:rPr>
          <w:rFonts w:asciiTheme="majorHAnsi" w:eastAsia="Malgun Gothic Semilight" w:hAnsiTheme="majorHAnsi" w:cs="Malgun Gothic Semilight"/>
        </w:rPr>
        <w:tab/>
      </w:r>
      <w:r w:rsidRPr="007C3649">
        <w:rPr>
          <w:rFonts w:asciiTheme="majorHAnsi" w:eastAsia="Malgun Gothic Semilight" w:hAnsiTheme="majorHAnsi" w:cs="Malgun Gothic Semilight"/>
        </w:rPr>
        <w:tab/>
      </w:r>
      <w:r w:rsidRPr="007C3649">
        <w:rPr>
          <w:rFonts w:asciiTheme="majorHAnsi" w:eastAsia="Malgun Gothic Semilight" w:hAnsiTheme="majorHAnsi" w:cs="Malgun Gothic Semilight"/>
        </w:rPr>
        <w:tab/>
      </w:r>
      <w:r w:rsidRPr="007C3649">
        <w:rPr>
          <w:rFonts w:asciiTheme="majorHAnsi" w:eastAsia="Malgun Gothic Semilight" w:hAnsiTheme="majorHAnsi" w:cs="Malgun Gothic Semilight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86086D" w:rsidRPr="008D5177" w:rsidTr="00D46E68">
        <w:trPr>
          <w:jc w:val="right"/>
        </w:trPr>
        <w:tc>
          <w:tcPr>
            <w:tcW w:w="1526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86086D" w:rsidRPr="008D5177" w:rsidTr="00D46E68">
        <w:trPr>
          <w:jc w:val="right"/>
        </w:trPr>
        <w:tc>
          <w:tcPr>
            <w:tcW w:w="1526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86086D" w:rsidRPr="008D5177" w:rsidTr="00D46E68">
        <w:trPr>
          <w:jc w:val="right"/>
        </w:trPr>
        <w:tc>
          <w:tcPr>
            <w:tcW w:w="3794" w:type="dxa"/>
            <w:gridSpan w:val="3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86086D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86086D" w:rsidRPr="008D5177" w:rsidRDefault="0086086D" w:rsidP="0086086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86086D" w:rsidRDefault="0086086D" w:rsidP="0086086D">
      <w:pPr>
        <w:tabs>
          <w:tab w:val="left" w:pos="3975"/>
        </w:tabs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86086D" w:rsidRDefault="0086086D" w:rsidP="0086086D">
      <w:pPr>
        <w:tabs>
          <w:tab w:val="left" w:pos="3975"/>
        </w:tabs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86086D" w:rsidRPr="000216AB" w:rsidRDefault="0086086D" w:rsidP="0086086D">
      <w:pPr>
        <w:tabs>
          <w:tab w:val="left" w:pos="3975"/>
        </w:tabs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0216AB">
        <w:rPr>
          <w:rFonts w:asciiTheme="majorHAnsi" w:eastAsia="Malgun Gothic Semilight" w:hAnsiTheme="majorHAnsi" w:cs="Malgun Gothic Semilight"/>
          <w:sz w:val="16"/>
          <w:szCs w:val="16"/>
        </w:rPr>
        <w:t xml:space="preserve">Tembusan </w:t>
      </w:r>
      <w:r w:rsidR="00746F24">
        <w:rPr>
          <w:rFonts w:asciiTheme="majorHAnsi" w:eastAsia="Malgun Gothic Semilight" w:hAnsiTheme="majorHAnsi" w:cs="Malgun Gothic Semilight"/>
          <w:sz w:val="16"/>
          <w:szCs w:val="16"/>
        </w:rPr>
        <w:t>Yth.</w:t>
      </w:r>
      <w:r w:rsidRPr="000216AB">
        <w:rPr>
          <w:rFonts w:asciiTheme="majorHAnsi" w:eastAsia="Malgun Gothic Semilight" w:hAnsiTheme="majorHAnsi" w:cs="Malgun Gothic Semilight"/>
          <w:sz w:val="16"/>
          <w:szCs w:val="16"/>
        </w:rPr>
        <w:t xml:space="preserve">: </w:t>
      </w:r>
    </w:p>
    <w:p w:rsidR="0086086D" w:rsidRPr="000216AB" w:rsidRDefault="0086086D" w:rsidP="0086086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0216AB">
        <w:rPr>
          <w:rFonts w:asciiTheme="majorHAnsi" w:eastAsia="Malgun Gothic Semilight" w:hAnsiTheme="majorHAnsi" w:cs="Malgun Gothic Semilight"/>
          <w:sz w:val="16"/>
          <w:szCs w:val="16"/>
        </w:rPr>
        <w:t>Ketua Pengadila</w:t>
      </w:r>
      <w:r>
        <w:rPr>
          <w:rFonts w:asciiTheme="majorHAnsi" w:eastAsia="Malgun Gothic Semilight" w:hAnsiTheme="majorHAnsi" w:cs="Malgun Gothic Semilight"/>
          <w:sz w:val="16"/>
          <w:szCs w:val="16"/>
        </w:rPr>
        <w:t>n Tinggi Agama Makassar</w:t>
      </w:r>
      <w:r w:rsidRPr="000216AB">
        <w:rPr>
          <w:rFonts w:asciiTheme="majorHAnsi" w:eastAsia="Malgun Gothic Semilight" w:hAnsiTheme="majorHAnsi" w:cs="Malgun Gothic Semilight"/>
          <w:sz w:val="16"/>
          <w:szCs w:val="16"/>
        </w:rPr>
        <w:t>;</w:t>
      </w:r>
    </w:p>
    <w:p w:rsidR="0086086D" w:rsidRDefault="0086086D" w:rsidP="0086086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0216AB">
        <w:rPr>
          <w:rFonts w:asciiTheme="majorHAnsi" w:eastAsia="Malgun Gothic Semilight" w:hAnsiTheme="majorHAnsi" w:cs="Malgun Gothic Semilight"/>
          <w:sz w:val="16"/>
          <w:szCs w:val="16"/>
        </w:rPr>
        <w:t>Yang bersangkutan;</w:t>
      </w:r>
    </w:p>
    <w:p w:rsidR="0086086D" w:rsidRPr="006A76E2" w:rsidRDefault="0086086D" w:rsidP="0086086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6A76E2">
        <w:rPr>
          <w:rFonts w:asciiTheme="majorHAnsi" w:eastAsia="Malgun Gothic Semilight" w:hAnsiTheme="majorHAnsi" w:cs="Malgun Gothic Semilight"/>
          <w:sz w:val="16"/>
          <w:szCs w:val="16"/>
        </w:rPr>
        <w:t>Arsip</w:t>
      </w:r>
    </w:p>
    <w:p w:rsidR="0086086D" w:rsidRPr="007C3649" w:rsidRDefault="0086086D" w:rsidP="0086086D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b/>
        </w:rPr>
        <w:sectPr w:rsidR="0086086D" w:rsidRPr="007C3649" w:rsidSect="006A797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1"/>
        <w:tblW w:w="5353" w:type="dxa"/>
        <w:tblInd w:w="393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685"/>
      </w:tblGrid>
      <w:tr w:rsidR="0086086D" w:rsidRPr="0086086D" w:rsidTr="008D197B">
        <w:tc>
          <w:tcPr>
            <w:tcW w:w="1384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bookmarkStart w:id="0" w:name="_GoBack"/>
            <w:r w:rsidRPr="0086086D"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Lampiran </w:t>
            </w:r>
          </w:p>
        </w:tc>
        <w:tc>
          <w:tcPr>
            <w:tcW w:w="284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>Surat Keputusan Ketua Pengadilan Agama Selayar</w:t>
            </w:r>
          </w:p>
        </w:tc>
      </w:tr>
      <w:tr w:rsidR="0086086D" w:rsidRPr="0086086D" w:rsidTr="008D197B">
        <w:tc>
          <w:tcPr>
            <w:tcW w:w="1384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86086D" w:rsidRPr="0086086D" w:rsidRDefault="0086086D" w:rsidP="0086086D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>W20-A17/SK.117/HM.00/I/2020</w:t>
            </w:r>
          </w:p>
        </w:tc>
      </w:tr>
      <w:tr w:rsidR="0086086D" w:rsidRPr="0086086D" w:rsidTr="008D197B">
        <w:tc>
          <w:tcPr>
            <w:tcW w:w="1384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86086D" w:rsidRPr="0086086D" w:rsidRDefault="0086086D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86086D"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  <w:bookmarkEnd w:id="0"/>
    </w:tbl>
    <w:p w:rsidR="0086086D" w:rsidRPr="007C3649" w:rsidRDefault="0086086D" w:rsidP="0086086D">
      <w:pPr>
        <w:spacing w:after="0" w:line="360" w:lineRule="auto"/>
        <w:jc w:val="both"/>
        <w:rPr>
          <w:rFonts w:asciiTheme="majorHAnsi" w:eastAsia="Malgun Gothic Semilight" w:hAnsiTheme="majorHAnsi" w:cs="Malgun Gothic Semilight"/>
          <w:b/>
        </w:rPr>
      </w:pPr>
    </w:p>
    <w:p w:rsidR="0086086D" w:rsidRPr="008413D5" w:rsidRDefault="0086086D" w:rsidP="0086086D">
      <w:pPr>
        <w:spacing w:after="0" w:line="48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JENIS-JENIS INFORMASI DI PENGADILAN</w:t>
      </w:r>
    </w:p>
    <w:p w:rsidR="0086086D" w:rsidRPr="008413D5" w:rsidRDefault="0086086D" w:rsidP="0086086D">
      <w:pPr>
        <w:spacing w:after="0" w:line="48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(Berdasarkan SK Dirjen Badilag MA-RI Nomor : 0017/DjA/SK/VII/2011)</w:t>
      </w:r>
    </w:p>
    <w:p w:rsidR="0086086D" w:rsidRPr="008413D5" w:rsidRDefault="0086086D" w:rsidP="0086086D">
      <w:p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</w:p>
    <w:p w:rsidR="0086086D" w:rsidRPr="008413D5" w:rsidRDefault="0086086D" w:rsidP="0086086D">
      <w:p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Ada 3 Jenis Informasi di Pengadilan, yaitu :</w:t>
      </w:r>
    </w:p>
    <w:p w:rsidR="0086086D" w:rsidRPr="008413D5" w:rsidRDefault="0086086D" w:rsidP="0086086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yang wajib diumumkan kepada publik secara berkala;</w:t>
      </w:r>
    </w:p>
    <w:p w:rsidR="0086086D" w:rsidRPr="008413D5" w:rsidRDefault="0086086D" w:rsidP="0086086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Infromasi yang wajib tersedia setiap saat dan dapat diakses oleh publik; dan</w:t>
      </w:r>
    </w:p>
    <w:p w:rsidR="0086086D" w:rsidRPr="008413D5" w:rsidRDefault="0086086D" w:rsidP="0086086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yang tidak boleh diakses oleh publik.</w:t>
      </w:r>
    </w:p>
    <w:p w:rsidR="0086086D" w:rsidRPr="008413D5" w:rsidRDefault="0086086D" w:rsidP="0086086D">
      <w:pPr>
        <w:spacing w:before="240"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yang termasuk kategori pertama, yaitu :</w:t>
      </w:r>
    </w:p>
    <w:p w:rsidR="0086086D" w:rsidRPr="008413D5" w:rsidRDefault="0086086D" w:rsidP="0086086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profil dan pelayaan dasar-dasar pengadilan yang terdiri atas :</w:t>
      </w:r>
    </w:p>
    <w:p w:rsidR="0086086D" w:rsidRPr="008413D5" w:rsidRDefault="0086086D" w:rsidP="0086086D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 xml:space="preserve">Profil pengadilan, meliputi : 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Fungsi, tugas dan yurisdiksi pengadilan;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Struktur organisasi pengadilan;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Alamat, telepon,fax, dan situs resmi pengadilan;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Daftar nama pejabat dan hakim di pengadilan;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Profil singkat pejabat struktural; dan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Laporan Harta Kekayaan Pejabat Negara (LHKPN) yang telah diverifikasi dan dikirim  ke KPK.</w:t>
      </w:r>
    </w:p>
    <w:p w:rsidR="0086086D" w:rsidRPr="008413D5" w:rsidRDefault="0086086D" w:rsidP="0086086D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Prosedur beracara untuk setiap jenis perkara yang menjadi kewenangan pengadilan.</w:t>
      </w:r>
    </w:p>
    <w:p w:rsidR="0086086D" w:rsidRPr="008413D5" w:rsidRDefault="0086086D" w:rsidP="0086086D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Biaya yang berhubungan dengan proses penyelesaian perkara serta seluruh biaya hak-hak kepaniteraan lain sesuai dengan kewenangan, tugas dan kewajiban pengadilan.</w:t>
      </w:r>
    </w:p>
    <w:p w:rsidR="0086086D" w:rsidRDefault="0086086D" w:rsidP="0086086D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Agenda sidang pada Pengadilan Tingkat Pertama.</w:t>
      </w:r>
    </w:p>
    <w:p w:rsidR="0086086D" w:rsidRDefault="0086086D" w:rsidP="0086086D">
      <w:p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</w:p>
    <w:p w:rsidR="0086086D" w:rsidRDefault="0086086D" w:rsidP="0086086D">
      <w:p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</w:p>
    <w:p w:rsidR="0086086D" w:rsidRDefault="0086086D" w:rsidP="0086086D">
      <w:p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</w:p>
    <w:p w:rsidR="0086086D" w:rsidRPr="008413D5" w:rsidRDefault="0086086D" w:rsidP="0086086D">
      <w:p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</w:p>
    <w:p w:rsidR="0086086D" w:rsidRPr="008413D5" w:rsidRDefault="0086086D" w:rsidP="0086086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lastRenderedPageBreak/>
        <w:t>Informasi berkaitan dengan hak masyarakat, yang meliputi :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Hak-hak para pihak yang berhubungan dengan peradilan, antara lain :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Hak mendapat bantuan hukum;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Hak atas biaya perkara cuma-cuma; serta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Hak-hak pokok dalam proses persidangan.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Tata cara pengaduan dugaan pelanggaran yang dilakukan hakim dan pegawai.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Hak-hak pelapor dugaan pelanggaran hakim dan pegawai.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Tata cara memperoleh pelayanan informasi, tata cara mengajukan keberatan terhadap pelayanan informasi serta nama dan nomor kontak pihak-pihak yang bertanggung jawab atas pelayanan informasi dan penanganan keberatan terhadap pelayanan informasi.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Hak-hak pemohon informasi dalam pelayanan informasi.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Biaya untuk memperoleh salinan informasi.</w:t>
      </w:r>
    </w:p>
    <w:p w:rsidR="0086086D" w:rsidRPr="008413D5" w:rsidRDefault="0086086D" w:rsidP="0086086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program kerja, kegiatan, keuangan, dan kinerja pengadilan, yang meliputi :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Ringkasan informasi tentang program dan/atau kegiatan yang sedang dijalankan pengadilan yang sekurang-kurangnya terdiri atas : nama program dan kegiatan; penanggung jawab, pelaksana program dan kegiatan serta nomor telepon dan/atau alamat yang dapat dihubungi; Target dan/atau capaian program dan kegiatan; jadwal pelaksanaan program dan kegiatan; sumber dan jumlah anggaran yang digunakan, yang setidaknya meliputi Daftar Isian Penggunaan Anggaran (DIPA), dokumen anggaran lainnya seperti rincian DIPA, rencana kerja anggaran, proposal dan sebagainya.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Ringkasan Laporan Akuntabilitas Kinerja Instansi (LAKIP).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Ringkasan laporan keuangan yang sekurang-kurangnya terdiri atas : rencana dan laporan realisasi anggaran dan neraca laporan arus kas dan catatan atas laporan keungan yang disusun sesuai dengan standar akuntasi yang berlaku.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Ringkasan daftar aset dan inventaris.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lastRenderedPageBreak/>
        <w:t>Informasi tentang pengumuman pengadaan barang dan jasa sesuai dengan peraturan perundang-undangan yang berlaku.</w:t>
      </w:r>
    </w:p>
    <w:p w:rsidR="0086086D" w:rsidRPr="008413D5" w:rsidRDefault="0086086D" w:rsidP="0086086D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lain sesuai peraturan perundang-undangan yang berlaku.</w:t>
      </w:r>
    </w:p>
    <w:p w:rsidR="0086086D" w:rsidRPr="008413D5" w:rsidRDefault="0086086D" w:rsidP="0086086D">
      <w:pPr>
        <w:spacing w:before="240"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yang termasuk kategori kedua, yaitu :</w:t>
      </w:r>
    </w:p>
    <w:p w:rsidR="0086086D" w:rsidRPr="008413D5" w:rsidRDefault="0086086D" w:rsidP="0086086D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tentang perkara dan persidangan yang meliputi :</w:t>
      </w:r>
    </w:p>
    <w:p w:rsidR="0086086D" w:rsidRPr="008413D5" w:rsidRDefault="0086086D" w:rsidP="0086086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Seluruh putusan dan penetapan pengadilan, baik yang telah berkekuatan hukum tetap maupun yang belum berkekuatan hukum tetap (dalam bentuk fotokopi) atau naskah elektronik, bukan salinan resmi)</w:t>
      </w:r>
    </w:p>
    <w:p w:rsidR="0086086D" w:rsidRPr="008413D5" w:rsidRDefault="0086086D" w:rsidP="0086086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dalam register perkara;</w:t>
      </w:r>
    </w:p>
    <w:p w:rsidR="0086086D" w:rsidRPr="008413D5" w:rsidRDefault="0086086D" w:rsidP="0086086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Data statistik perkara yang mencakup jumlah dan jenis perkara.</w:t>
      </w:r>
    </w:p>
    <w:p w:rsidR="0086086D" w:rsidRPr="008413D5" w:rsidRDefault="0086086D" w:rsidP="0086086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Tahapan suatu perkara dalam proses penanganan perkara.</w:t>
      </w:r>
    </w:p>
    <w:p w:rsidR="0086086D" w:rsidRPr="008413D5" w:rsidRDefault="0086086D" w:rsidP="0086086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Laporan penggunaan biaya perkara.</w:t>
      </w:r>
    </w:p>
    <w:p w:rsidR="0086086D" w:rsidRPr="008413D5" w:rsidRDefault="0086086D" w:rsidP="0086086D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tentang Pengawasan dan Pendisiplinan yang meliputi :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Jumlah, jenis dan gambaran umum pelanggaran yang ditemukan pengawas atau yang dilaporkan oleh masyarakat serta tindak lanjutnya.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Langkah yang tengah dilakukan pengadilan dalam pemeriksaan dugaan pelanggaran yang dilakukan hakim atau pegawai yang telah diketahui publik (sudah dimuat dalam media cetak atau elektronik).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Jumlah hakim atau pegawai yang dijatuhi hukuman disiplin beserta jenis pelanggaran dan jenis hukuman disiplin yang dijatuhkan.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Inisial nama dan unit satuan kerja hakim atau pegawai yang dijatuhi hukum disiplin, jenis pelanggaran dan bentuk hukuman disiplin yang dijatuhkan,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Putusan Majelis Kehormatan Hakim.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Pedoman pengelolaan organisasi, administrasi, personel dan keuangan Pengadilan.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Standar dan Maklumat Pelayanan Pengadilan.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Profil hakim dan pegawai yang meliputi  nama, riwayat pekerjaan, posisi, riwayat pendidikan, dan penghargaan yang diterima.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lastRenderedPageBreak/>
        <w:t>Data statistik kepegawaian yang meliputi antara lain jumlah, komposisi dan penyebaran hakim dan pegawai.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Anggaran pengadilan maupun unit pelaksana teknis serta laporan keuangannya.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Surat-surat perjanjian yang dibuat pengadilan dengan pihak ketiga berikut dokumen pendukungnya.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Surat menyurat pimpinan atau pejabat pengadilan dalam rangka pelaksanaan tugas pokok dan fungsinya kecuali bersifat rahasia.</w:t>
      </w:r>
    </w:p>
    <w:p w:rsidR="0086086D" w:rsidRPr="008413D5" w:rsidRDefault="0086086D" w:rsidP="0086086D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Agenda kerja pimpinan pengadilan atau satuan kerja.</w:t>
      </w:r>
    </w:p>
    <w:p w:rsidR="0086086D" w:rsidRPr="008413D5" w:rsidRDefault="0086086D" w:rsidP="0086086D">
      <w:pPr>
        <w:pStyle w:val="ListParagraph"/>
        <w:spacing w:after="0" w:line="480" w:lineRule="auto"/>
        <w:ind w:left="786"/>
        <w:jc w:val="both"/>
        <w:rPr>
          <w:rFonts w:asciiTheme="majorHAnsi" w:eastAsia="Malgun Gothic Semilight" w:hAnsiTheme="majorHAnsi" w:cs="Malgun Gothic Semilight"/>
        </w:rPr>
      </w:pPr>
    </w:p>
    <w:p w:rsidR="0086086D" w:rsidRPr="008413D5" w:rsidRDefault="0086086D" w:rsidP="0086086D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tentang Organisasi, Administrasi, Kepegawaian dan Keuangan.</w:t>
      </w:r>
    </w:p>
    <w:p w:rsidR="0086086D" w:rsidRPr="008413D5" w:rsidRDefault="0086086D" w:rsidP="0086086D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>Informasi lain sesuai peraturan perundang-undangan yang berlaku.</w:t>
      </w:r>
    </w:p>
    <w:p w:rsidR="0086086D" w:rsidRPr="008413D5" w:rsidRDefault="0086086D" w:rsidP="0086086D">
      <w:pPr>
        <w:spacing w:before="240" w:after="0" w:line="480" w:lineRule="auto"/>
        <w:jc w:val="both"/>
        <w:rPr>
          <w:rFonts w:asciiTheme="majorHAnsi" w:eastAsia="Malgun Gothic Semilight" w:hAnsiTheme="majorHAnsi" w:cs="Malgun Gothic Semilight"/>
          <w:b/>
        </w:rPr>
      </w:pPr>
      <w:r w:rsidRPr="008413D5">
        <w:rPr>
          <w:rFonts w:asciiTheme="majorHAnsi" w:eastAsia="Malgun Gothic Semilight" w:hAnsiTheme="majorHAnsi" w:cs="Malgun Gothic Semilight"/>
          <w:b/>
        </w:rPr>
        <w:t xml:space="preserve">Informasi Pengadilan yang termasuk kategori ketiga, yaitu : 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dalam proses musyawarah hakim, termasuk advisblaad,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Identitas lengkap hakim dan pegawai yang diberikan sanksi,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DP3 atau evaluasi kinerja individu hakim atau pegawai,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Identitas pelapor yang melaporkan dugaan pelanggaran hakim dan pegawai,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Identitas hakim dan pegawai yang dilaporkan yang belum diketahui publik,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Catatan dan dokumen yang diperoleh dalam proses mediasi di Pengadilan,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yang dapat mengungkap identitas pihak-pihak tertentu dalam putusan atau penetapan hakim dalam perkara-perkara tertentu, dan</w:t>
      </w:r>
    </w:p>
    <w:p w:rsidR="0086086D" w:rsidRPr="008413D5" w:rsidRDefault="0086086D" w:rsidP="0086086D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>Informasi lain sesuai peraturan perundang-undangan yang berlaku.</w:t>
      </w:r>
    </w:p>
    <w:p w:rsidR="0086086D" w:rsidRPr="008413D5" w:rsidRDefault="0086086D" w:rsidP="0086086D">
      <w:pPr>
        <w:tabs>
          <w:tab w:val="left" w:pos="3975"/>
        </w:tabs>
        <w:spacing w:after="0" w:line="480" w:lineRule="auto"/>
        <w:jc w:val="both"/>
        <w:rPr>
          <w:rFonts w:asciiTheme="majorHAnsi" w:eastAsia="Malgun Gothic Semilight" w:hAnsiTheme="majorHAnsi" w:cs="Malgun Gothic Semilight"/>
        </w:rPr>
      </w:pPr>
      <w:r w:rsidRPr="008413D5">
        <w:rPr>
          <w:rFonts w:asciiTheme="majorHAnsi" w:eastAsia="Malgun Gothic Semilight" w:hAnsiTheme="majorHAnsi" w:cs="Malgun Gothic Semilight"/>
        </w:rPr>
        <w:tab/>
      </w:r>
      <w:r w:rsidRPr="008413D5">
        <w:rPr>
          <w:rFonts w:asciiTheme="majorHAnsi" w:eastAsia="Malgun Gothic Semilight" w:hAnsiTheme="majorHAnsi" w:cs="Malgun Gothic Semilight"/>
        </w:rPr>
        <w:tab/>
      </w:r>
      <w:r w:rsidRPr="008413D5">
        <w:rPr>
          <w:rFonts w:asciiTheme="majorHAnsi" w:eastAsia="Malgun Gothic Semilight" w:hAnsiTheme="majorHAnsi" w:cs="Malgun Gothic Semilight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86086D" w:rsidRPr="008D5177" w:rsidTr="00D46E68">
        <w:trPr>
          <w:jc w:val="right"/>
        </w:trPr>
        <w:tc>
          <w:tcPr>
            <w:tcW w:w="1526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86086D" w:rsidRPr="008D5177" w:rsidTr="00D46E68">
        <w:trPr>
          <w:jc w:val="right"/>
        </w:trPr>
        <w:tc>
          <w:tcPr>
            <w:tcW w:w="1526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86086D" w:rsidRPr="008D5177" w:rsidTr="00D46E68">
        <w:trPr>
          <w:jc w:val="right"/>
        </w:trPr>
        <w:tc>
          <w:tcPr>
            <w:tcW w:w="3794" w:type="dxa"/>
            <w:gridSpan w:val="3"/>
          </w:tcPr>
          <w:p w:rsidR="0086086D" w:rsidRPr="008D5177" w:rsidRDefault="0086086D" w:rsidP="00D46E68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6086D" w:rsidRPr="008D5177" w:rsidRDefault="0086086D" w:rsidP="0086086D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86086D" w:rsidRPr="008D5177" w:rsidRDefault="0086086D" w:rsidP="0086086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86086D" w:rsidRPr="007C3649" w:rsidRDefault="0086086D" w:rsidP="0086086D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BE0B77" w:rsidRDefault="00BE0B77"/>
    <w:sectPr w:rsidR="00BE0B77" w:rsidSect="009E23A2">
      <w:pgSz w:w="11906" w:h="16838" w:code="9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875"/>
    <w:multiLevelType w:val="hybridMultilevel"/>
    <w:tmpl w:val="CD0E245A"/>
    <w:lvl w:ilvl="0" w:tplc="1378448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13408D"/>
    <w:multiLevelType w:val="hybridMultilevel"/>
    <w:tmpl w:val="74B6D92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552906"/>
    <w:multiLevelType w:val="hybridMultilevel"/>
    <w:tmpl w:val="09B6C426"/>
    <w:lvl w:ilvl="0" w:tplc="6FF45DF8">
      <w:start w:val="1"/>
      <w:numFmt w:val="bullet"/>
      <w:lvlText w:val="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2CB2C07"/>
    <w:multiLevelType w:val="hybridMultilevel"/>
    <w:tmpl w:val="FAF2988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925F4F"/>
    <w:multiLevelType w:val="hybridMultilevel"/>
    <w:tmpl w:val="171E5D04"/>
    <w:lvl w:ilvl="0" w:tplc="7942616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EF2A7A"/>
    <w:multiLevelType w:val="hybridMultilevel"/>
    <w:tmpl w:val="7D64D35A"/>
    <w:lvl w:ilvl="0" w:tplc="6FF45DF8">
      <w:start w:val="1"/>
      <w:numFmt w:val="bullet"/>
      <w:lvlText w:val="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3444480"/>
    <w:multiLevelType w:val="hybridMultilevel"/>
    <w:tmpl w:val="452AD182"/>
    <w:lvl w:ilvl="0" w:tplc="6FF45DF8">
      <w:start w:val="1"/>
      <w:numFmt w:val="bullet"/>
      <w:lvlText w:val="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64C0838"/>
    <w:multiLevelType w:val="hybridMultilevel"/>
    <w:tmpl w:val="6E3AFE50"/>
    <w:lvl w:ilvl="0" w:tplc="6FF45DF8">
      <w:start w:val="1"/>
      <w:numFmt w:val="bullet"/>
      <w:lvlText w:val="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53D71665"/>
    <w:multiLevelType w:val="hybridMultilevel"/>
    <w:tmpl w:val="36466AEA"/>
    <w:lvl w:ilvl="0" w:tplc="A3961F12">
      <w:start w:val="1"/>
      <w:numFmt w:val="bullet"/>
      <w:lvlText w:val="-"/>
      <w:lvlJc w:val="left"/>
      <w:pPr>
        <w:ind w:left="928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5C9C1484"/>
    <w:multiLevelType w:val="hybridMultilevel"/>
    <w:tmpl w:val="F1F607B6"/>
    <w:lvl w:ilvl="0" w:tplc="2F6479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8C0A64"/>
    <w:multiLevelType w:val="hybridMultilevel"/>
    <w:tmpl w:val="C9684E5C"/>
    <w:lvl w:ilvl="0" w:tplc="85126FEA">
      <w:start w:val="1"/>
      <w:numFmt w:val="decimal"/>
      <w:lvlText w:val="%1."/>
      <w:lvlJc w:val="left"/>
      <w:pPr>
        <w:ind w:left="360" w:hanging="360"/>
      </w:pPr>
      <w:rPr>
        <w:rFonts w:asciiTheme="majorHAnsi" w:eastAsia="Malgun Gothic Semilight" w:hAnsiTheme="majorHAnsi" w:cs="Malgun Gothic Semilight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135B0E"/>
    <w:multiLevelType w:val="hybridMultilevel"/>
    <w:tmpl w:val="BC7A1DB8"/>
    <w:lvl w:ilvl="0" w:tplc="6FB2A0C8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6D"/>
    <w:rsid w:val="0001209C"/>
    <w:rsid w:val="0006426B"/>
    <w:rsid w:val="001700E9"/>
    <w:rsid w:val="00197D2C"/>
    <w:rsid w:val="002645D3"/>
    <w:rsid w:val="002743D5"/>
    <w:rsid w:val="002960FF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46F24"/>
    <w:rsid w:val="00760D96"/>
    <w:rsid w:val="00767D9C"/>
    <w:rsid w:val="00820771"/>
    <w:rsid w:val="00832653"/>
    <w:rsid w:val="0086086D"/>
    <w:rsid w:val="00862E69"/>
    <w:rsid w:val="008637E4"/>
    <w:rsid w:val="008D197B"/>
    <w:rsid w:val="008E5BA3"/>
    <w:rsid w:val="00A2251F"/>
    <w:rsid w:val="00AD1437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86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60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86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60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2020-01-28T02:29:00Z</dcterms:created>
  <dcterms:modified xsi:type="dcterms:W3CDTF">2020-01-28T13:21:00Z</dcterms:modified>
</cp:coreProperties>
</file>