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E0575D"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KUASA PENGGUNA ANGGARAN </w:t>
      </w:r>
      <w:bookmarkStart w:id="0" w:name="_GoBack"/>
      <w:bookmarkEnd w:id="0"/>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567C74">
        <w:rPr>
          <w:rFonts w:asciiTheme="majorHAnsi" w:eastAsia="Malgun Gothic Semilight" w:hAnsiTheme="majorHAnsi" w:cs="Times New Roman"/>
          <w:b/>
          <w:sz w:val="24"/>
          <w:szCs w:val="24"/>
        </w:rPr>
        <w:t>3</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567C74" w:rsidP="00567C74">
      <w:pPr>
        <w:spacing w:after="0" w:line="360" w:lineRule="auto"/>
        <w:jc w:val="center"/>
        <w:rPr>
          <w:rFonts w:asciiTheme="majorHAnsi" w:eastAsia="Malgun Gothic Semilight" w:hAnsiTheme="majorHAnsi" w:cs="Times New Roman"/>
          <w:b/>
          <w:sz w:val="24"/>
          <w:szCs w:val="24"/>
        </w:rPr>
      </w:pPr>
      <w:r w:rsidRPr="00567C74">
        <w:rPr>
          <w:rFonts w:asciiTheme="majorHAnsi" w:eastAsia="Malgun Gothic Semilight" w:hAnsiTheme="majorHAnsi" w:cs="Times New Roman"/>
          <w:b/>
          <w:sz w:val="24"/>
          <w:szCs w:val="24"/>
        </w:rPr>
        <w:t>PENUNJUKAN PEJABAT PENGUJI SURAT PERMINTAAN PEMBAYARAN (PPSPP)</w:t>
      </w:r>
      <w:r>
        <w:rPr>
          <w:rFonts w:asciiTheme="majorHAnsi" w:eastAsia="Malgun Gothic Semilight" w:hAnsiTheme="majorHAnsi" w:cs="Times New Roman"/>
          <w:b/>
          <w:sz w:val="24"/>
          <w:szCs w:val="24"/>
        </w:rPr>
        <w:t xml:space="preserve"> </w:t>
      </w:r>
      <w:r w:rsidRPr="00567C74">
        <w:rPr>
          <w:rFonts w:asciiTheme="majorHAnsi" w:eastAsia="Malgun Gothic Semilight" w:hAnsiTheme="majorHAnsi" w:cs="Times New Roman"/>
          <w:b/>
          <w:sz w:val="24"/>
          <w:szCs w:val="24"/>
        </w:rPr>
        <w:t>DAN</w:t>
      </w:r>
      <w:r>
        <w:rPr>
          <w:rFonts w:asciiTheme="majorHAnsi" w:eastAsia="Malgun Gothic Semilight" w:hAnsiTheme="majorHAnsi" w:cs="Times New Roman"/>
          <w:b/>
          <w:sz w:val="24"/>
          <w:szCs w:val="24"/>
        </w:rPr>
        <w:t xml:space="preserve"> </w:t>
      </w:r>
      <w:r w:rsidRPr="00567C74">
        <w:rPr>
          <w:rFonts w:asciiTheme="majorHAnsi" w:eastAsia="Malgun Gothic Semilight" w:hAnsiTheme="majorHAnsi" w:cs="Times New Roman"/>
          <w:b/>
          <w:sz w:val="24"/>
          <w:szCs w:val="24"/>
        </w:rPr>
        <w:t>PEJABAT PENANDATANGANAN SURAT PERINTAH MEMBAYAR (PPSPM)</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806155"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7C74" w:rsidRPr="00567C74" w:rsidRDefault="00567C74" w:rsidP="005D7018">
            <w:pPr>
              <w:pStyle w:val="ListParagraph"/>
              <w:numPr>
                <w:ilvl w:val="0"/>
                <w:numId w:val="2"/>
              </w:numPr>
              <w:spacing w:line="480" w:lineRule="auto"/>
              <w:jc w:val="both"/>
              <w:rPr>
                <w:rFonts w:asciiTheme="majorHAnsi" w:hAnsiTheme="majorHAnsi"/>
              </w:rPr>
            </w:pPr>
            <w:r w:rsidRPr="00DA3BCE">
              <w:rPr>
                <w:rFonts w:ascii="Arial" w:hAnsi="Arial"/>
                <w:sz w:val="20"/>
                <w:szCs w:val="20"/>
              </w:rPr>
              <w:t>b</w:t>
            </w:r>
            <w:r w:rsidRPr="00567C74">
              <w:rPr>
                <w:rFonts w:asciiTheme="majorHAnsi" w:hAnsiTheme="majorHAnsi"/>
              </w:rPr>
              <w:t>ahwa dengan Surat Keputusan Sekretaris Mahkamah Agung Republik Indonesia Nomor: 42/PA/SK/XII/201</w:t>
            </w:r>
            <w:r>
              <w:rPr>
                <w:rFonts w:asciiTheme="majorHAnsi" w:hAnsiTheme="majorHAnsi"/>
              </w:rPr>
              <w:t>9</w:t>
            </w:r>
            <w:r w:rsidRPr="00567C74">
              <w:rPr>
                <w:rFonts w:asciiTheme="majorHAnsi" w:hAnsiTheme="majorHAnsi"/>
              </w:rPr>
              <w:t xml:space="preserve"> tanggal 4 Desember 201</w:t>
            </w:r>
            <w:r>
              <w:rPr>
                <w:rFonts w:asciiTheme="majorHAnsi" w:hAnsiTheme="majorHAnsi"/>
              </w:rPr>
              <w:t>9</w:t>
            </w:r>
            <w:r w:rsidRPr="00567C74">
              <w:rPr>
                <w:rFonts w:asciiTheme="majorHAnsi" w:hAnsiTheme="majorHAnsi"/>
              </w:rPr>
              <w:t xml:space="preserve"> tentang Penunjukan Pejabat Kuasa Pengguna Anggaran/Pengguna Barang  Satuan Kerja di Lingkungan Mahkamah Agung dan Badan Peradilan yang Berada di Bawahnya dan untuk menjamin kelancaran dan tanggung jawab pengurusan Pelaksanaan Anggaran Pendapatan dan Belanja Negara Tahun Anggaran 20</w:t>
            </w:r>
            <w:r>
              <w:rPr>
                <w:rFonts w:asciiTheme="majorHAnsi" w:hAnsiTheme="majorHAnsi"/>
              </w:rPr>
              <w:t>20</w:t>
            </w:r>
            <w:r w:rsidRPr="00567C74">
              <w:rPr>
                <w:rFonts w:asciiTheme="majorHAnsi" w:hAnsiTheme="majorHAnsi"/>
              </w:rPr>
              <w:t xml:space="preserve"> pada Pengadilan Agama Selayar, dipandang perlu menunjuk/mengangkat Pejabat Penguji Surat Permintaan Pembayaran (PPSPP) dan Pejabat Penandatangan Surat Perintah Membayar (PPSPM) pada Pengadilan Agama Selayar Tahun Anggaran 20</w:t>
            </w:r>
            <w:r>
              <w:rPr>
                <w:rFonts w:asciiTheme="majorHAnsi" w:hAnsiTheme="majorHAnsi"/>
              </w:rPr>
              <w:t>20</w:t>
            </w:r>
            <w:r w:rsidRPr="00567C74">
              <w:rPr>
                <w:rFonts w:asciiTheme="majorHAnsi" w:hAnsiTheme="majorHAnsi"/>
              </w:rPr>
              <w:t>;</w:t>
            </w:r>
          </w:p>
          <w:p w:rsidR="00567C74" w:rsidRPr="005D7018" w:rsidRDefault="00567C74" w:rsidP="005D7018">
            <w:pPr>
              <w:pStyle w:val="ListParagraph"/>
              <w:numPr>
                <w:ilvl w:val="0"/>
                <w:numId w:val="2"/>
              </w:numPr>
              <w:spacing w:line="480" w:lineRule="auto"/>
              <w:jc w:val="both"/>
              <w:rPr>
                <w:rFonts w:ascii="Arial" w:hAnsi="Arial"/>
                <w:sz w:val="20"/>
                <w:szCs w:val="20"/>
              </w:rPr>
            </w:pPr>
            <w:r w:rsidRPr="00567C74">
              <w:rPr>
                <w:rFonts w:asciiTheme="majorHAnsi" w:hAnsiTheme="majorHAnsi"/>
              </w:rPr>
              <w:t xml:space="preserve">bahwa Pejabat yang tersebut dalam Surat Keputusan ini dipandang cakap dan mampu untuk diangkat sebagai Pejabat Penguji Surat </w:t>
            </w:r>
            <w:r w:rsidRPr="00567C74">
              <w:rPr>
                <w:rFonts w:asciiTheme="majorHAnsi" w:hAnsiTheme="majorHAnsi"/>
              </w:rPr>
              <w:lastRenderedPageBreak/>
              <w:t>Permintaan Pembayaran (PPSPP) dan Pejabat Penandatanganan Surat Perintah Membayar (PPSPM) pada Pengadilan Agama Selayar Tahun Anggaran</w:t>
            </w:r>
            <w:r>
              <w:rPr>
                <w:rFonts w:ascii="Arial" w:hAnsi="Arial"/>
                <w:sz w:val="20"/>
                <w:szCs w:val="20"/>
              </w:rPr>
              <w:t xml:space="preserve"> 2020</w:t>
            </w:r>
            <w:r w:rsidRPr="00DA3BCE">
              <w:rPr>
                <w:rFonts w:ascii="Arial" w:hAnsi="Arial"/>
                <w:sz w:val="20"/>
                <w:szCs w:val="20"/>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lastRenderedPageBreak/>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20 Tahun 1997 tentang Penerimaan Negara Bukan Pajak;</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17 Tahun 2003 tentang Keuangan Negara;</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1 Tahun 2004 tentang Perbendaharaan Negara;</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15 Tahun 2004 tentang Pemeriksaan Pengelolaan dan Tanggung Jawab Keuangan Negara;</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48 Tahun 2009 tentang Kekuasaan Kehakiman;</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Undang-Undang Nomor 7 Tahun 1989 tentang Peradilan Agama sebagaimana telah diubah dengan Undang-Undang Nomor 3 Tahun 2006 dan Undang-Undang Nomor 50 Tahun 2009;</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Peraturan Pemerintah Nomor 21 Tahun 2004 tentang Penyusunan Rencana Kerja dan Anggaran Kementerian Negara/Lembaga;</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Peraturan Pemerintah Nomor 94 Tahun 2012 tentang Hak Keuangan dan Fasilitas Hakim yang berada di bawah Mahkamah Agung RI;</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Peraturan Presiden Nomor 70 Tahun 2012 tentang Pedoman Pengadaan Barang/Jasa Pemerintah;</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Peraturan Menteri Keuangan RI., Nomor : 190/PMK.05/2012 tentang Tata Cara Pembayaran Dalam Rangka Pelaksanaan Anggaran Pendapatan dan Belanja Negara, pasal 9, pasal 11 dan pasal 22;</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 xml:space="preserve">Keputusan Ketua Mahkamah Agung RI Nomor </w:t>
            </w:r>
            <w:r w:rsidRPr="00567C74">
              <w:rPr>
                <w:rFonts w:asciiTheme="majorHAnsi" w:hAnsiTheme="majorHAnsi" w:cstheme="minorHAnsi"/>
                <w:szCs w:val="20"/>
              </w:rPr>
              <w:lastRenderedPageBreak/>
              <w:t>070/KMA/SK/V/2008 tentang Tunjangan Khusus Kinerja Pegawai Negeri di Lingkungan Mahkamah Agung dan Badan Peradilan yang berada di bawahnya;</w:t>
            </w:r>
          </w:p>
          <w:p w:rsidR="00567C74" w:rsidRPr="00567C74" w:rsidRDefault="00567C74" w:rsidP="005D7018">
            <w:pPr>
              <w:pStyle w:val="ListParagraph"/>
              <w:numPr>
                <w:ilvl w:val="0"/>
                <w:numId w:val="3"/>
              </w:numPr>
              <w:spacing w:after="240" w:line="480" w:lineRule="auto"/>
              <w:ind w:left="357" w:hanging="357"/>
              <w:jc w:val="both"/>
              <w:rPr>
                <w:rFonts w:asciiTheme="majorHAnsi" w:hAnsiTheme="majorHAnsi" w:cstheme="minorHAnsi"/>
                <w:szCs w:val="20"/>
              </w:rPr>
            </w:pPr>
            <w:r w:rsidRPr="00567C74">
              <w:rPr>
                <w:rFonts w:asciiTheme="majorHAnsi" w:hAnsiTheme="majorHAnsi" w:cstheme="minorHAnsi"/>
                <w:szCs w:val="20"/>
              </w:rPr>
              <w:t>Keputusan Sekretaris Mahkamah Agung RI Nomor: 002/Sek/SK/I/2012 tentang Petunjuk Pelaksanaan Pembayaran Anggaran Pendapatn dan Belanja Negara di Lingkungan Mahkamah Agung RI dan Badan Peradilan yang berada di bawahnya;</w:t>
            </w:r>
          </w:p>
          <w:p w:rsidR="007F4177" w:rsidRPr="00806155" w:rsidRDefault="00567C74" w:rsidP="005D7018">
            <w:pPr>
              <w:pStyle w:val="ListParagraph"/>
              <w:numPr>
                <w:ilvl w:val="0"/>
                <w:numId w:val="3"/>
              </w:numPr>
              <w:tabs>
                <w:tab w:val="left" w:pos="1418"/>
                <w:tab w:val="left" w:pos="1701"/>
                <w:tab w:val="left" w:pos="1985"/>
              </w:tabs>
              <w:spacing w:after="240" w:line="480" w:lineRule="auto"/>
              <w:ind w:left="357" w:hanging="357"/>
              <w:jc w:val="both"/>
              <w:rPr>
                <w:rFonts w:asciiTheme="majorHAnsi" w:eastAsia="Malgun Gothic Semilight" w:hAnsiTheme="majorHAnsi" w:cs="Times New Roman"/>
              </w:rPr>
            </w:pPr>
            <w:r w:rsidRPr="00567C74">
              <w:rPr>
                <w:rFonts w:asciiTheme="majorHAnsi" w:hAnsiTheme="majorHAnsi" w:cstheme="minorHAnsi"/>
                <w:szCs w:val="20"/>
              </w:rPr>
              <w:t>Surat Keputusan Sekretaris Mahkamah Agung Republik Indonesia Nomor: 42/PA/SK/XII/201</w:t>
            </w:r>
            <w:r>
              <w:rPr>
                <w:rFonts w:asciiTheme="majorHAnsi" w:hAnsiTheme="majorHAnsi" w:cstheme="minorHAnsi"/>
                <w:szCs w:val="20"/>
              </w:rPr>
              <w:t>9</w:t>
            </w:r>
            <w:r w:rsidRPr="00567C74">
              <w:rPr>
                <w:rFonts w:asciiTheme="majorHAnsi" w:hAnsiTheme="majorHAnsi" w:cstheme="minorHAnsi"/>
                <w:szCs w:val="20"/>
              </w:rPr>
              <w:t xml:space="preserve"> tanggal 4 Desember 201</w:t>
            </w:r>
            <w:r>
              <w:rPr>
                <w:rFonts w:asciiTheme="majorHAnsi" w:hAnsiTheme="majorHAnsi" w:cstheme="minorHAnsi"/>
                <w:szCs w:val="20"/>
              </w:rPr>
              <w:t>9</w:t>
            </w:r>
            <w:r w:rsidRPr="00567C74">
              <w:rPr>
                <w:rFonts w:asciiTheme="majorHAnsi" w:hAnsiTheme="majorHAnsi" w:cstheme="minorHAnsi"/>
                <w:szCs w:val="20"/>
              </w:rPr>
              <w:t xml:space="preserve"> tentang Penunjukan Pejabat Kuasa Pengguna Anggaran/Pengguna Barang  Satuan Kerja di Lingkungan Mahkamah Agung dan Badan Peradilan yang Berada di Bawahnya.</w:t>
            </w:r>
          </w:p>
        </w:tc>
      </w:tr>
      <w:tr w:rsidR="00567C74" w:rsidRPr="00F8558F" w:rsidTr="00806155">
        <w:tc>
          <w:tcPr>
            <w:tcW w:w="1717" w:type="dxa"/>
          </w:tcPr>
          <w:p w:rsidR="00567C74" w:rsidRPr="00F8558F" w:rsidRDefault="00567C74" w:rsidP="00F1072B">
            <w:pPr>
              <w:spacing w:after="240"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567C74" w:rsidRPr="00F8558F" w:rsidRDefault="00567C74" w:rsidP="00F1072B">
            <w:pPr>
              <w:spacing w:after="24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7C74" w:rsidRPr="00567C74" w:rsidRDefault="00567C74" w:rsidP="005D7018">
            <w:pPr>
              <w:pStyle w:val="ListParagraph"/>
              <w:numPr>
                <w:ilvl w:val="3"/>
                <w:numId w:val="27"/>
              </w:numPr>
              <w:tabs>
                <w:tab w:val="left" w:pos="253"/>
              </w:tabs>
              <w:spacing w:after="240" w:line="480" w:lineRule="auto"/>
              <w:ind w:left="253" w:hanging="270"/>
              <w:jc w:val="both"/>
              <w:rPr>
                <w:rFonts w:asciiTheme="majorHAnsi" w:hAnsiTheme="majorHAnsi"/>
                <w:szCs w:val="20"/>
              </w:rPr>
            </w:pPr>
            <w:r w:rsidRPr="00567C74">
              <w:rPr>
                <w:rFonts w:asciiTheme="majorHAnsi" w:hAnsiTheme="majorHAnsi"/>
                <w:szCs w:val="20"/>
              </w:rPr>
              <w:t>Peraturan Dirjen Perbendaharaan Nomor PER-66/PB/2005 tentang Mekanisme Pelaksanaan Pembayaran Atas Beban Anggaran Pendapatan dan Belanja Negara sebagaimana telah diubah dengan Peraturan Direktur jenderal Perbendaharaan Nomor PER-11/PB/2011;</w:t>
            </w:r>
          </w:p>
          <w:p w:rsidR="00567C74" w:rsidRPr="00567C74" w:rsidRDefault="00567C74" w:rsidP="005D7018">
            <w:pPr>
              <w:pStyle w:val="ListParagraph"/>
              <w:numPr>
                <w:ilvl w:val="3"/>
                <w:numId w:val="27"/>
              </w:numPr>
              <w:tabs>
                <w:tab w:val="left" w:pos="253"/>
              </w:tabs>
              <w:spacing w:after="240" w:line="480" w:lineRule="auto"/>
              <w:ind w:left="253" w:hanging="270"/>
              <w:jc w:val="both"/>
              <w:rPr>
                <w:rFonts w:asciiTheme="majorHAnsi" w:hAnsiTheme="majorHAnsi" w:cstheme="minorHAnsi"/>
                <w:szCs w:val="20"/>
              </w:rPr>
            </w:pPr>
            <w:r w:rsidRPr="00567C74">
              <w:rPr>
                <w:rFonts w:asciiTheme="majorHAnsi" w:hAnsiTheme="majorHAnsi"/>
                <w:szCs w:val="20"/>
              </w:rPr>
              <w:t>Daftar Isian Pelaksanaan Anggaran (DIPA) Pengadilan Agama Selayar Tahun Anggaran 20</w:t>
            </w:r>
            <w:r>
              <w:rPr>
                <w:rFonts w:asciiTheme="majorHAnsi" w:hAnsiTheme="majorHAnsi"/>
                <w:szCs w:val="20"/>
              </w:rPr>
              <w:t>20</w:t>
            </w:r>
            <w:r w:rsidRPr="00567C74">
              <w:rPr>
                <w:rFonts w:asciiTheme="majorHAnsi" w:hAnsiTheme="majorHAnsi"/>
                <w:szCs w:val="20"/>
              </w:rPr>
              <w:t xml:space="preserve"> Nomor: SP DIPA-005.01.2.307562/20</w:t>
            </w:r>
            <w:r>
              <w:rPr>
                <w:rFonts w:asciiTheme="majorHAnsi" w:hAnsiTheme="majorHAnsi"/>
                <w:szCs w:val="20"/>
              </w:rPr>
              <w:t>20</w:t>
            </w:r>
            <w:r w:rsidRPr="00567C74">
              <w:rPr>
                <w:rFonts w:asciiTheme="majorHAnsi" w:hAnsiTheme="majorHAnsi"/>
                <w:szCs w:val="20"/>
              </w:rPr>
              <w:t xml:space="preserve"> dan Nomor: SP DIPA-005.04.2.309082/20</w:t>
            </w:r>
            <w:r>
              <w:rPr>
                <w:rFonts w:asciiTheme="majorHAnsi" w:hAnsiTheme="majorHAnsi"/>
                <w:szCs w:val="20"/>
              </w:rPr>
              <w:t>20</w:t>
            </w:r>
            <w:r w:rsidRPr="00567C74">
              <w:rPr>
                <w:rFonts w:asciiTheme="majorHAnsi" w:hAnsiTheme="majorHAnsi"/>
                <w:szCs w:val="20"/>
              </w:rPr>
              <w:t xml:space="preserve"> masing-masing Tanggal </w:t>
            </w:r>
            <w:r>
              <w:rPr>
                <w:rFonts w:asciiTheme="majorHAnsi" w:hAnsiTheme="majorHAnsi"/>
                <w:szCs w:val="20"/>
              </w:rPr>
              <w:t xml:space="preserve">12 Nopember </w:t>
            </w:r>
            <w:r w:rsidRPr="00567C74">
              <w:rPr>
                <w:rFonts w:asciiTheme="majorHAnsi" w:hAnsiTheme="majorHAnsi"/>
                <w:szCs w:val="20"/>
              </w:rPr>
              <w:t>201</w:t>
            </w:r>
            <w:r>
              <w:rPr>
                <w:rFonts w:asciiTheme="majorHAnsi" w:hAnsiTheme="majorHAnsi"/>
                <w:szCs w:val="20"/>
              </w:rPr>
              <w:t>9</w:t>
            </w:r>
            <w:r w:rsidRPr="00567C74">
              <w:rPr>
                <w:rFonts w:asciiTheme="majorHAnsi" w:hAnsiTheme="majorHAnsi"/>
                <w:szCs w:val="20"/>
              </w:rPr>
              <w:t>;</w:t>
            </w:r>
          </w:p>
        </w:tc>
      </w:tr>
      <w:tr w:rsidR="003A762B" w:rsidRPr="00F8558F" w:rsidTr="005A721B">
        <w:tc>
          <w:tcPr>
            <w:tcW w:w="9003" w:type="dxa"/>
            <w:gridSpan w:val="3"/>
          </w:tcPr>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567C74" w:rsidRDefault="00567C74" w:rsidP="005D7018">
            <w:pPr>
              <w:tabs>
                <w:tab w:val="left" w:pos="1418"/>
                <w:tab w:val="left" w:pos="1701"/>
                <w:tab w:val="left" w:pos="1985"/>
              </w:tabs>
              <w:spacing w:after="240" w:line="480" w:lineRule="auto"/>
              <w:jc w:val="both"/>
              <w:rPr>
                <w:rFonts w:asciiTheme="majorHAnsi" w:eastAsia="Malgun Gothic Semilight" w:hAnsiTheme="majorHAnsi" w:cs="Times New Roman"/>
                <w:b/>
              </w:rPr>
            </w:pPr>
            <w:r w:rsidRPr="00567C74">
              <w:rPr>
                <w:rFonts w:asciiTheme="majorHAnsi" w:hAnsiTheme="majorHAnsi" w:cs="Arial"/>
                <w:b/>
                <w:szCs w:val="20"/>
              </w:rPr>
              <w:t xml:space="preserve">SURAT KEPUTUSAN KUASA PENGGUNA ANGGARAN TENTANG PENUNJUKAN PEJABAT PENGUJI SURAT PERMINTAAN PEMBAYARAN (PPSPP) DAN PEJABAT PENANDATANGANAN SURAT </w:t>
            </w:r>
            <w:r w:rsidRPr="00567C74">
              <w:rPr>
                <w:rFonts w:asciiTheme="majorHAnsi" w:hAnsiTheme="majorHAnsi" w:cs="Arial"/>
                <w:b/>
                <w:szCs w:val="20"/>
              </w:rPr>
              <w:lastRenderedPageBreak/>
              <w:t>PERINTAH MEMBAYAR  (PPSPM) PADA PENGADILAN AGAMA SELAYAR TAHUN ANGGARAN 20</w:t>
            </w:r>
            <w:r>
              <w:rPr>
                <w:rFonts w:asciiTheme="majorHAnsi" w:hAnsiTheme="majorHAnsi" w:cs="Arial"/>
                <w:b/>
                <w:szCs w:val="20"/>
              </w:rPr>
              <w:t>20</w:t>
            </w:r>
            <w:r w:rsidRPr="00567C74">
              <w:rPr>
                <w:rFonts w:asciiTheme="majorHAnsi" w:hAnsiTheme="majorHAnsi" w:cs="Arial"/>
                <w:b/>
                <w:szCs w:val="20"/>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lastRenderedPageBreak/>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806155" w:rsidRDefault="00F1072B" w:rsidP="005D7018">
            <w:pPr>
              <w:tabs>
                <w:tab w:val="left" w:pos="1418"/>
                <w:tab w:val="left" w:pos="1701"/>
                <w:tab w:val="left" w:pos="1985"/>
              </w:tabs>
              <w:spacing w:after="120" w:line="480" w:lineRule="auto"/>
              <w:jc w:val="both"/>
              <w:rPr>
                <w:rFonts w:asciiTheme="majorHAnsi" w:hAnsiTheme="majorHAnsi"/>
              </w:rPr>
            </w:pPr>
            <w:r w:rsidRPr="00F1072B">
              <w:rPr>
                <w:rFonts w:ascii="Cambria" w:hAnsi="Cambria"/>
                <w:szCs w:val="18"/>
              </w:rPr>
              <w:t xml:space="preserve">Menunjuk </w:t>
            </w:r>
            <w:r w:rsidRPr="00F1072B">
              <w:rPr>
                <w:rFonts w:ascii="Cambria" w:hAnsi="Cambria"/>
                <w:b/>
                <w:szCs w:val="18"/>
              </w:rPr>
              <w:t>Andi Bobby, S.Kom.</w:t>
            </w:r>
            <w:r w:rsidRPr="00F1072B">
              <w:rPr>
                <w:rFonts w:ascii="Cambria" w:hAnsi="Cambria"/>
                <w:szCs w:val="18"/>
              </w:rPr>
              <w:t>, NIP. 19811022 200904 1 003, Penata (III/c) sebagai Pejabat Penguji Surat Permintaan Pembayaran (PPSPP)  dan Penandatangan Surat Perintah Membayar (PPSPM) pada Pengadilan Agama Selayar Tahun Anggaran 2020.</w:t>
            </w:r>
            <w:r w:rsidRPr="00DA3BCE">
              <w:rPr>
                <w:rFonts w:ascii="Arial" w:hAnsi="Arial"/>
                <w:sz w:val="20"/>
                <w:szCs w:val="20"/>
              </w:rPr>
              <w:t xml:space="preserve">   </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Pr="00716B6A" w:rsidRDefault="00F1072B" w:rsidP="005D7018">
            <w:pPr>
              <w:tabs>
                <w:tab w:val="left" w:pos="1418"/>
                <w:tab w:val="left" w:pos="1701"/>
                <w:tab w:val="left" w:pos="1985"/>
              </w:tabs>
              <w:spacing w:after="120" w:line="480" w:lineRule="auto"/>
              <w:jc w:val="both"/>
              <w:rPr>
                <w:rFonts w:ascii="Cambria" w:hAnsi="Cambria"/>
              </w:rPr>
            </w:pPr>
            <w:r w:rsidRPr="00F1072B">
              <w:rPr>
                <w:rFonts w:ascii="Cambria" w:hAnsi="Cambria"/>
                <w:szCs w:val="18"/>
              </w:rPr>
              <w:t>Kepada Pejabat yang telah ditunjuk /diangkat sebagaimana tersebut pada dictum pertama  di atas diwajibkan segera memberikan specimen tanda tangan dan paraf mereka kepada KPPN Benteng dan Bank BRI Cabang Benteng.</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385F77" w:rsidRPr="00F1072B" w:rsidRDefault="00F1072B" w:rsidP="005D7018">
            <w:pPr>
              <w:tabs>
                <w:tab w:val="left" w:pos="1418"/>
                <w:tab w:val="left" w:pos="1701"/>
                <w:tab w:val="left" w:pos="1985"/>
              </w:tabs>
              <w:spacing w:after="120" w:line="480" w:lineRule="auto"/>
              <w:jc w:val="both"/>
              <w:rPr>
                <w:rFonts w:ascii="Cambria" w:hAnsi="Cambria"/>
                <w:szCs w:val="18"/>
              </w:rPr>
            </w:pPr>
            <w:r w:rsidRPr="00F1072B">
              <w:rPr>
                <w:rFonts w:ascii="Cambria" w:hAnsi="Cambria"/>
                <w:szCs w:val="18"/>
              </w:rPr>
              <w:t>Surat Keputusan ini berlaku sejak tanggal ditetapkan dengan ketentuan bahwa apabila dikemudian hari ternyata terdapat kekeliruan di dalamnya, akan diadakan</w:t>
            </w:r>
            <w:r>
              <w:rPr>
                <w:rFonts w:ascii="Cambria" w:hAnsi="Cambria"/>
                <w:szCs w:val="18"/>
              </w:rPr>
              <w:t xml:space="preserve">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D7018" w:rsidP="00EA6F8B">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D7018" w:rsidP="00EA6F8B">
            <w:pPr>
              <w:jc w:val="both"/>
              <w:rPr>
                <w:rFonts w:asciiTheme="majorHAnsi" w:hAnsiTheme="majorHAnsi"/>
                <w:b/>
                <w:u w:val="single"/>
              </w:rPr>
            </w:pPr>
            <w:r>
              <w:rPr>
                <w:rFonts w:asciiTheme="majorHAnsi" w:hAnsiTheme="majorHAnsi"/>
                <w:b/>
                <w:u w:val="single"/>
              </w:rPr>
              <w:t>Hj. Asni Amin, S.H.I.</w:t>
            </w:r>
          </w:p>
          <w:p w:rsidR="007F4177" w:rsidRPr="00C95C25" w:rsidRDefault="007F4177" w:rsidP="005D7018">
            <w:pPr>
              <w:jc w:val="both"/>
              <w:rPr>
                <w:rFonts w:asciiTheme="majorHAnsi" w:hAnsiTheme="majorHAnsi"/>
              </w:rPr>
            </w:pPr>
            <w:r w:rsidRPr="00F975A6">
              <w:rPr>
                <w:rFonts w:asciiTheme="majorHAnsi" w:hAnsiTheme="majorHAnsi"/>
              </w:rPr>
              <w:t xml:space="preserve">NIP. </w:t>
            </w:r>
            <w:r w:rsidR="005D7018">
              <w:rPr>
                <w:rFonts w:asciiTheme="majorHAnsi" w:hAnsiTheme="majorHAnsi"/>
              </w:rPr>
              <w:t>19780205.200805.2.001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4">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4"/>
  </w:num>
  <w:num w:numId="4">
    <w:abstractNumId w:val="26"/>
  </w:num>
  <w:num w:numId="5">
    <w:abstractNumId w:val="16"/>
  </w:num>
  <w:num w:numId="6">
    <w:abstractNumId w:val="1"/>
  </w:num>
  <w:num w:numId="7">
    <w:abstractNumId w:val="20"/>
  </w:num>
  <w:num w:numId="8">
    <w:abstractNumId w:val="7"/>
  </w:num>
  <w:num w:numId="9">
    <w:abstractNumId w:val="15"/>
  </w:num>
  <w:num w:numId="10">
    <w:abstractNumId w:val="8"/>
  </w:num>
  <w:num w:numId="11">
    <w:abstractNumId w:val="3"/>
  </w:num>
  <w:num w:numId="12">
    <w:abstractNumId w:val="11"/>
  </w:num>
  <w:num w:numId="13">
    <w:abstractNumId w:val="22"/>
  </w:num>
  <w:num w:numId="14">
    <w:abstractNumId w:val="5"/>
  </w:num>
  <w:num w:numId="15">
    <w:abstractNumId w:val="2"/>
  </w:num>
  <w:num w:numId="16">
    <w:abstractNumId w:val="13"/>
  </w:num>
  <w:num w:numId="17">
    <w:abstractNumId w:val="25"/>
  </w:num>
  <w:num w:numId="18">
    <w:abstractNumId w:val="4"/>
  </w:num>
  <w:num w:numId="19">
    <w:abstractNumId w:val="18"/>
  </w:num>
  <w:num w:numId="20">
    <w:abstractNumId w:val="12"/>
  </w:num>
  <w:num w:numId="21">
    <w:abstractNumId w:val="10"/>
  </w:num>
  <w:num w:numId="22">
    <w:abstractNumId w:val="23"/>
  </w:num>
  <w:num w:numId="23">
    <w:abstractNumId w:val="24"/>
  </w:num>
  <w:num w:numId="24">
    <w:abstractNumId w:val="17"/>
  </w:num>
  <w:num w:numId="25">
    <w:abstractNumId w:val="0"/>
  </w:num>
  <w:num w:numId="26">
    <w:abstractNumId w:val="27"/>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150DC9"/>
    <w:rsid w:val="00195D82"/>
    <w:rsid w:val="001D7B8C"/>
    <w:rsid w:val="002606CD"/>
    <w:rsid w:val="00365531"/>
    <w:rsid w:val="00370057"/>
    <w:rsid w:val="00385F77"/>
    <w:rsid w:val="003A762B"/>
    <w:rsid w:val="0051544D"/>
    <w:rsid w:val="0055295D"/>
    <w:rsid w:val="00567C74"/>
    <w:rsid w:val="005D7018"/>
    <w:rsid w:val="00716B6A"/>
    <w:rsid w:val="007B27DE"/>
    <w:rsid w:val="007F4177"/>
    <w:rsid w:val="00806155"/>
    <w:rsid w:val="009C795D"/>
    <w:rsid w:val="009D058A"/>
    <w:rsid w:val="00A758AD"/>
    <w:rsid w:val="00AB1961"/>
    <w:rsid w:val="00C2183C"/>
    <w:rsid w:val="00E0575D"/>
    <w:rsid w:val="00F1072B"/>
    <w:rsid w:val="00F23809"/>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8</cp:revision>
  <dcterms:created xsi:type="dcterms:W3CDTF">2020-01-08T05:54:00Z</dcterms:created>
  <dcterms:modified xsi:type="dcterms:W3CDTF">2020-01-10T15:43:00Z</dcterms:modified>
</cp:coreProperties>
</file>