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A5F" w:rsidRPr="00596707" w:rsidRDefault="00076A5F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lang w:val="id-ID"/>
        </w:rPr>
      </w:pPr>
      <w:r w:rsidRPr="00596707">
        <w:rPr>
          <w:rFonts w:asciiTheme="majorHAnsi" w:eastAsia="Malgun Gothic Semilight" w:hAnsiTheme="majorHAnsi" w:cs="Malgun Gothic Semilight"/>
          <w:noProof/>
          <w:lang w:val="id-ID" w:eastAsia="id-ID"/>
        </w:rPr>
        <w:drawing>
          <wp:inline distT="0" distB="0" distL="0" distR="0" wp14:anchorId="7047BF64" wp14:editId="0B8665E7">
            <wp:extent cx="735670" cy="993531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54" cy="992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SURAT 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KEPUTUSAN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es-ES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p w:rsidR="00076A5F" w:rsidRPr="006A262C" w:rsidRDefault="00076A5F" w:rsidP="006A262C">
      <w:pPr>
        <w:spacing w:line="240" w:lineRule="auto"/>
        <w:jc w:val="center"/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</w:pPr>
      <w:proofErr w:type="gramStart"/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NOMOR :</w:t>
      </w:r>
      <w:proofErr w:type="gramEnd"/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 xml:space="preserve"> W20-A17/SK.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0</w:t>
      </w:r>
      <w:r w:rsidR="008062FA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3</w:t>
      </w:r>
      <w:r w:rsidR="00435F9A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7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/K</w:t>
      </w:r>
      <w:r w:rsidR="008062FA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P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.02.1/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I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</w:rPr>
        <w:t>/20</w:t>
      </w:r>
      <w:r w:rsidRPr="006A262C">
        <w:rPr>
          <w:rFonts w:asciiTheme="majorHAnsi" w:eastAsia="Malgun Gothic Semilight" w:hAnsiTheme="majorHAnsi" w:cs="Malgun Gothic Semilight"/>
          <w:b/>
          <w:color w:val="000000"/>
          <w:sz w:val="24"/>
          <w:szCs w:val="24"/>
          <w:lang w:val="id-ID"/>
        </w:rPr>
        <w:t>20</w:t>
      </w:r>
    </w:p>
    <w:p w:rsidR="00076A5F" w:rsidRPr="006A262C" w:rsidRDefault="00076A5F" w:rsidP="006A262C">
      <w:pPr>
        <w:spacing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TENTANG</w:t>
      </w:r>
    </w:p>
    <w:p w:rsidR="00435F9A" w:rsidRDefault="00435F9A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PEMBENTUKAN </w:t>
      </w:r>
      <w:r w:rsidR="00076A5F"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TIM </w:t>
      </w:r>
      <w:r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PENANGGUNG JAWAB ABSENSI 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PADA 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PENGADILAN AGAMA SELAYAR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 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TAHUN 20</w:t>
      </w:r>
      <w:r w:rsidRPr="006A262C"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>20</w:t>
      </w:r>
    </w:p>
    <w:p w:rsidR="00076A5F" w:rsidRPr="006A262C" w:rsidRDefault="00076A5F" w:rsidP="006A262C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</w:rPr>
      </w:pPr>
    </w:p>
    <w:p w:rsidR="00076A5F" w:rsidRPr="006A262C" w:rsidRDefault="00076A5F" w:rsidP="006A262C">
      <w:pPr>
        <w:spacing w:line="240" w:lineRule="auto"/>
        <w:jc w:val="center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6A262C">
        <w:rPr>
          <w:rFonts w:asciiTheme="majorHAnsi" w:eastAsia="Malgun Gothic Semilight" w:hAnsiTheme="majorHAnsi" w:cs="Malgun Gothic Semilight"/>
          <w:b/>
          <w:sz w:val="24"/>
          <w:szCs w:val="24"/>
        </w:rPr>
        <w:t>KETUA PENGADILAN AGAMA SELAYAR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29"/>
        <w:gridCol w:w="281"/>
        <w:gridCol w:w="7394"/>
      </w:tblGrid>
      <w:tr w:rsidR="00076A5F" w:rsidRPr="006A262C" w:rsidTr="00435F9A">
        <w:trPr>
          <w:trHeight w:val="270"/>
        </w:trPr>
        <w:tc>
          <w:tcPr>
            <w:tcW w:w="1329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Membaca</w:t>
            </w:r>
            <w:proofErr w:type="spellEnd"/>
          </w:p>
        </w:tc>
        <w:tc>
          <w:tcPr>
            <w:tcW w:w="281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394" w:type="dxa"/>
          </w:tcPr>
          <w:p w:rsidR="00076A5F" w:rsidRPr="00435F9A" w:rsidRDefault="00435F9A" w:rsidP="00435F9A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bahwa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untuk menegakkan dan meningkatkan disiplin kerja Hakim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Pemerintah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53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2010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dipandang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perlu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menunjuk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Tim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Penanggung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Jawab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Petugas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Pengadilan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Agama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proofErr w:type="spellEnd"/>
            <w:r>
              <w:rPr>
                <w:rFonts w:asciiTheme="majorHAnsi" w:eastAsia="Malgun Gothic Semilight" w:hAnsiTheme="majorHAnsi" w:cs="Malgun Gothic Semilight"/>
                <w:sz w:val="22"/>
                <w:lang w:val="id-ID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bahwa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untuk menegakkan dan meningkatkan disiplin kerja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Tenaga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Honorer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(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Sopir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Pramubakti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Satpam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)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sesuai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DIPA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Pengadilan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Agama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Anggaran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</w:t>
            </w:r>
            <w:r>
              <w:rPr>
                <w:rFonts w:asciiTheme="majorHAnsi" w:eastAsia="Malgun Gothic Semilight" w:hAnsiTheme="majorHAnsi" w:cs="Malgun Gothic Semilight"/>
                <w:sz w:val="22"/>
                <w:lang w:val="id-ID"/>
              </w:rPr>
              <w:t>20</w:t>
            </w: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dipandang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perlu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menunjuk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Tim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Penanggung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Jawab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Petugas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Tenaga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Honorer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(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Sopir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Pramubakti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Satpam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)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Pengadilan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Agama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bahwa berdasarkan pertimbangan sebagaimana dimaksud pada huruf 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b di atas, perlu ditetapkan dengan Surat Keputusan tentang penunjukan Tim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Penanggung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Jawab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Petugas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Tenaga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Honorer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(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Sopir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Pramubakti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Satpam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)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Pengadilan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Agama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6A262C" w:rsidRDefault="00435F9A" w:rsidP="00435F9A">
            <w:pPr>
              <w:pStyle w:val="ListParagraph"/>
              <w:numPr>
                <w:ilvl w:val="0"/>
                <w:numId w:val="2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bahwa yang tersebut namanya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lampiran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Surat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ini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dipandang cakap dan mampu untuk diserahi tugas sebagai Tim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Penanggung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Jawab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Petugas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Tenaga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Honorer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(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Sopir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Pramubakti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Satpam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)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Pengadilan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Agama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.</w:t>
            </w:r>
          </w:p>
        </w:tc>
      </w:tr>
      <w:tr w:rsidR="00076A5F" w:rsidRPr="006A262C" w:rsidTr="00435F9A">
        <w:trPr>
          <w:trHeight w:val="3234"/>
        </w:trPr>
        <w:tc>
          <w:tcPr>
            <w:tcW w:w="1329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lastRenderedPageBreak/>
              <w:t>Mengingat</w:t>
            </w:r>
            <w:proofErr w:type="spellEnd"/>
          </w:p>
        </w:tc>
        <w:tc>
          <w:tcPr>
            <w:tcW w:w="281" w:type="dxa"/>
          </w:tcPr>
          <w:p w:rsidR="00076A5F" w:rsidRPr="006A262C" w:rsidRDefault="00076A5F" w:rsidP="00C429F7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6A262C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394" w:type="dxa"/>
          </w:tcPr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Undang-Undang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5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2014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Aparatur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Negara;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Undang-Undang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50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2009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perubahan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kedua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atas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Undang-Undang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7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1989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Agama;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Pemerintah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32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1979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Pemberhentian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sebagaimana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telah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diubah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dengan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Undang-Undang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1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1994;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Pemerintah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53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2010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Ketua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070/KMA/SK/V/2008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di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Lingkungan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Ketua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071/KMA/SK/V/2008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Ketentuan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Rangka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Pemberian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Ketua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069/KMA/SK/V/2009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perubahan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Pertama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atas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071/KMA/SK/V/2008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Ketentuan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Rangka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Pemberian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Sekretaris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035/SK/IX/2008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Petunjuk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071/KMA/SK/V/2008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Ketentuan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dalam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Rangka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Pemberian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Tunjangan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Khusus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Kinerja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435F9A" w:rsidRPr="00435F9A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7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2016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Penegakan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Kerja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Hakim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Mahkamah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Agung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Peradilan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yang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berada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dibawahnya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;</w:t>
            </w:r>
          </w:p>
          <w:p w:rsidR="00076A5F" w:rsidRPr="006A262C" w:rsidRDefault="00435F9A" w:rsidP="00435F9A">
            <w:pPr>
              <w:pStyle w:val="ListParagraph"/>
              <w:numPr>
                <w:ilvl w:val="0"/>
                <w:numId w:val="3"/>
              </w:numPr>
              <w:tabs>
                <w:tab w:val="left" w:pos="1276"/>
                <w:tab w:val="left" w:pos="1701"/>
                <w:tab w:val="left" w:pos="1985"/>
              </w:tabs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Kepala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Badan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Kepegawaian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Negara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21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2010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Ketentuan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Pelaksanaan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Peraturan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Pemerintah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Nomor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53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Tahun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2010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tentang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Disiplin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Sipil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.</w:t>
            </w:r>
            <w:r w:rsidR="00076A5F" w:rsidRPr="006A262C">
              <w:rPr>
                <w:rFonts w:asciiTheme="majorHAnsi" w:eastAsia="Malgun Gothic Semilight" w:hAnsiTheme="majorHAnsi" w:cs="Malgun Gothic Semilight"/>
                <w:sz w:val="22"/>
              </w:rPr>
              <w:t>.</w:t>
            </w:r>
          </w:p>
        </w:tc>
      </w:tr>
    </w:tbl>
    <w:p w:rsidR="00435F9A" w:rsidRDefault="00435F9A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435F9A" w:rsidRDefault="00435F9A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435F9A" w:rsidRDefault="00435F9A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076A5F" w:rsidRDefault="00076A5F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596707">
        <w:rPr>
          <w:rFonts w:asciiTheme="majorHAnsi" w:eastAsia="Malgun Gothic Semilight" w:hAnsiTheme="majorHAnsi" w:cs="Malgun Gothic Semilight"/>
          <w:b/>
        </w:rPr>
        <w:lastRenderedPageBreak/>
        <w:t>MEMUTUSKAN</w:t>
      </w:r>
    </w:p>
    <w:p w:rsidR="00F21D0C" w:rsidRPr="00F21D0C" w:rsidRDefault="00F21D0C" w:rsidP="00076A5F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376"/>
        <w:gridCol w:w="7245"/>
      </w:tblGrid>
      <w:tr w:rsidR="00076A5F" w:rsidRPr="00435F9A" w:rsidTr="00435F9A">
        <w:trPr>
          <w:trHeight w:val="141"/>
        </w:trPr>
        <w:tc>
          <w:tcPr>
            <w:tcW w:w="1383" w:type="dxa"/>
          </w:tcPr>
          <w:p w:rsidR="00076A5F" w:rsidRPr="00435F9A" w:rsidRDefault="00076A5F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Menetapkan</w:t>
            </w:r>
            <w:proofErr w:type="spellEnd"/>
          </w:p>
        </w:tc>
        <w:tc>
          <w:tcPr>
            <w:tcW w:w="376" w:type="dxa"/>
          </w:tcPr>
          <w:p w:rsidR="00076A5F" w:rsidRPr="00435F9A" w:rsidRDefault="00076A5F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245" w:type="dxa"/>
          </w:tcPr>
          <w:p w:rsidR="00076A5F" w:rsidRPr="00435F9A" w:rsidRDefault="00435F9A" w:rsidP="00435F9A">
            <w:pPr>
              <w:spacing w:line="360" w:lineRule="auto"/>
              <w:jc w:val="both"/>
              <w:rPr>
                <w:rFonts w:asciiTheme="majorHAnsi" w:eastAsia="Malgun Gothic Semilight" w:hAnsiTheme="majorHAnsi" w:cs="Malgun Gothic Semilight"/>
                <w:b/>
                <w:sz w:val="22"/>
                <w:lang w:val="id-ID"/>
              </w:rPr>
            </w:pPr>
            <w:r w:rsidRPr="00435F9A">
              <w:rPr>
                <w:rFonts w:asciiTheme="majorHAnsi" w:eastAsia="Malgun Gothic Semilight" w:hAnsiTheme="majorHAnsi" w:cs="Malgun Gothic Semilight"/>
                <w:b/>
                <w:sz w:val="22"/>
                <w:lang w:val="id-ID"/>
              </w:rPr>
              <w:t xml:space="preserve">SURAT KEPUTUSAN KETUA PENGADILAN AGAMA SELAYAR TENTANG </w:t>
            </w:r>
            <w:r w:rsidRPr="00435F9A">
              <w:rPr>
                <w:rFonts w:asciiTheme="majorHAnsi" w:eastAsia="Malgun Gothic Semilight" w:hAnsiTheme="majorHAnsi" w:cs="Malgun Gothic Semilight"/>
                <w:b/>
                <w:sz w:val="22"/>
              </w:rPr>
              <w:t>PEMBENTUKAN TIM PENANGGUNG JAWAB ABSENSI PADA PENGADILAN AGAMA SELAYAR TAHUN 2020</w:t>
            </w:r>
            <w:r w:rsidRPr="00435F9A">
              <w:rPr>
                <w:rFonts w:asciiTheme="majorHAnsi" w:eastAsia="Malgun Gothic Semilight" w:hAnsiTheme="majorHAnsi" w:cs="Malgun Gothic Semilight"/>
                <w:b/>
                <w:sz w:val="22"/>
                <w:lang w:val="id-ID"/>
              </w:rPr>
              <w:t>.</w:t>
            </w:r>
          </w:p>
        </w:tc>
      </w:tr>
      <w:tr w:rsidR="00435F9A" w:rsidRPr="00435F9A" w:rsidTr="00435F9A">
        <w:trPr>
          <w:trHeight w:val="266"/>
        </w:trPr>
        <w:tc>
          <w:tcPr>
            <w:tcW w:w="1383" w:type="dxa"/>
          </w:tcPr>
          <w:p w:rsidR="00435F9A" w:rsidRPr="00435F9A" w:rsidRDefault="00435F9A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Pertama</w:t>
            </w:r>
            <w:proofErr w:type="spellEnd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</w:p>
        </w:tc>
        <w:tc>
          <w:tcPr>
            <w:tcW w:w="376" w:type="dxa"/>
          </w:tcPr>
          <w:p w:rsidR="00435F9A" w:rsidRPr="00435F9A" w:rsidRDefault="00435F9A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245" w:type="dxa"/>
          </w:tcPr>
          <w:p w:rsidR="00435F9A" w:rsidRPr="00435F9A" w:rsidRDefault="00435F9A" w:rsidP="00435F9A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  <w:lang w:val="id-ID"/>
              </w:rPr>
            </w:pPr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Menunjuk Tim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Penanggung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Jawab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Petugas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Absensi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Hakim,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Pegawai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Negeri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Tenaga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Honorer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(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Sopir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Pramubakti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Satpam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)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pada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Pengadilan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Agama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Selayar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sebagaimana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tercantum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dal</w:t>
            </w:r>
            <w:r>
              <w:rPr>
                <w:rFonts w:asciiTheme="majorHAnsi" w:eastAsia="Malgun Gothic" w:hAnsiTheme="majorHAnsi" w:cs="Arial"/>
                <w:sz w:val="22"/>
              </w:rPr>
              <w:t>am</w:t>
            </w:r>
            <w:proofErr w:type="spellEnd"/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>
              <w:rPr>
                <w:rFonts w:asciiTheme="majorHAnsi" w:eastAsia="Malgun Gothic" w:hAnsiTheme="majorHAnsi" w:cs="Arial"/>
                <w:sz w:val="22"/>
              </w:rPr>
              <w:t>lampiran</w:t>
            </w:r>
            <w:proofErr w:type="spellEnd"/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>
              <w:rPr>
                <w:rFonts w:asciiTheme="majorHAnsi" w:eastAsia="Malgun Gothic" w:hAnsiTheme="majorHAnsi" w:cs="Arial"/>
                <w:sz w:val="22"/>
              </w:rPr>
              <w:t>Surat</w:t>
            </w:r>
            <w:proofErr w:type="spellEnd"/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>
              <w:rPr>
                <w:rFonts w:asciiTheme="majorHAnsi" w:eastAsia="Malgun Gothic" w:hAnsiTheme="majorHAnsi" w:cs="Arial"/>
                <w:sz w:val="22"/>
              </w:rPr>
              <w:t>Keputusan</w:t>
            </w:r>
            <w:proofErr w:type="spellEnd"/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>
              <w:rPr>
                <w:rFonts w:asciiTheme="majorHAnsi" w:eastAsia="Malgun Gothic" w:hAnsiTheme="majorHAnsi" w:cs="Arial"/>
                <w:sz w:val="22"/>
              </w:rPr>
              <w:t>ini</w:t>
            </w:r>
            <w:proofErr w:type="spellEnd"/>
            <w:r>
              <w:rPr>
                <w:rFonts w:asciiTheme="majorHAnsi" w:eastAsia="Malgun Gothic" w:hAnsiTheme="majorHAnsi" w:cs="Arial"/>
                <w:sz w:val="22"/>
                <w:lang w:val="id-ID"/>
              </w:rPr>
              <w:t>;</w:t>
            </w:r>
          </w:p>
        </w:tc>
      </w:tr>
      <w:tr w:rsidR="00435F9A" w:rsidRPr="00435F9A" w:rsidTr="00435F9A">
        <w:trPr>
          <w:trHeight w:val="270"/>
        </w:trPr>
        <w:tc>
          <w:tcPr>
            <w:tcW w:w="1383" w:type="dxa"/>
          </w:tcPr>
          <w:p w:rsidR="00435F9A" w:rsidRPr="00435F9A" w:rsidRDefault="00435F9A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Kedua</w:t>
            </w:r>
            <w:proofErr w:type="spellEnd"/>
          </w:p>
        </w:tc>
        <w:tc>
          <w:tcPr>
            <w:tcW w:w="376" w:type="dxa"/>
          </w:tcPr>
          <w:p w:rsidR="00435F9A" w:rsidRPr="00435F9A" w:rsidRDefault="00435F9A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245" w:type="dxa"/>
          </w:tcPr>
          <w:p w:rsidR="00435F9A" w:rsidRPr="00435F9A" w:rsidRDefault="00435F9A" w:rsidP="00435F9A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Kepada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Tim yang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telah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ditunjuk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agar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melaksanakan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tugasnya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dengan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penuh rasa tanggung jawab,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sebagaimana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uraian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tugas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yang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tercantum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dalam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lampiran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Surat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ini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>;</w:t>
            </w:r>
          </w:p>
        </w:tc>
      </w:tr>
      <w:tr w:rsidR="00076A5F" w:rsidRPr="00435F9A" w:rsidTr="00435F9A">
        <w:trPr>
          <w:trHeight w:val="1081"/>
        </w:trPr>
        <w:tc>
          <w:tcPr>
            <w:tcW w:w="1383" w:type="dxa"/>
          </w:tcPr>
          <w:p w:rsidR="00076A5F" w:rsidRPr="00435F9A" w:rsidRDefault="00076A5F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  <w:lang w:val="id-ID"/>
              </w:rPr>
            </w:pPr>
            <w:proofErr w:type="spellStart"/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Ket</w:t>
            </w:r>
            <w:proofErr w:type="spellEnd"/>
            <w:r w:rsidR="00435F9A">
              <w:rPr>
                <w:rFonts w:asciiTheme="majorHAnsi" w:eastAsia="Malgun Gothic Semilight" w:hAnsiTheme="majorHAnsi" w:cs="Malgun Gothic Semilight"/>
                <w:sz w:val="22"/>
                <w:lang w:val="id-ID"/>
              </w:rPr>
              <w:t>iga</w:t>
            </w:r>
          </w:p>
        </w:tc>
        <w:tc>
          <w:tcPr>
            <w:tcW w:w="376" w:type="dxa"/>
          </w:tcPr>
          <w:p w:rsidR="00076A5F" w:rsidRPr="00435F9A" w:rsidRDefault="00076A5F" w:rsidP="00435F9A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435F9A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245" w:type="dxa"/>
          </w:tcPr>
          <w:p w:rsidR="00076A5F" w:rsidRPr="00435F9A" w:rsidRDefault="00076A5F" w:rsidP="00435F9A">
            <w:pPr>
              <w:spacing w:line="360" w:lineRule="auto"/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ini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berlaku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sejak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tanggal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di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tetapkan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dengan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ketentuan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apabila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dikemudian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hari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ternyata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terdapat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kekeliruan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dalam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Keputusan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ini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,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akan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diadakan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perbaikan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kembali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sebagaimana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proofErr w:type="spellStart"/>
            <w:r w:rsidRPr="00435F9A">
              <w:rPr>
                <w:rFonts w:asciiTheme="majorHAnsi" w:eastAsia="Malgun Gothic" w:hAnsiTheme="majorHAnsi" w:cs="Arial"/>
                <w:sz w:val="22"/>
              </w:rPr>
              <w:t>mestinya</w:t>
            </w:r>
            <w:proofErr w:type="spellEnd"/>
            <w:r w:rsidRPr="00435F9A">
              <w:rPr>
                <w:rFonts w:asciiTheme="majorHAnsi" w:eastAsia="Malgun Gothic" w:hAnsiTheme="majorHAnsi" w:cs="Arial"/>
                <w:sz w:val="22"/>
              </w:rPr>
              <w:t>;</w:t>
            </w:r>
          </w:p>
        </w:tc>
      </w:tr>
    </w:tbl>
    <w:p w:rsidR="00076A5F" w:rsidRDefault="00076A5F" w:rsidP="00076A5F">
      <w:pPr>
        <w:pStyle w:val="Title"/>
        <w:tabs>
          <w:tab w:val="left" w:pos="1418"/>
          <w:tab w:val="left" w:pos="1701"/>
        </w:tabs>
        <w:spacing w:line="360" w:lineRule="auto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076A5F" w:rsidRPr="006A262C" w:rsidTr="00C429F7">
        <w:trPr>
          <w:jc w:val="right"/>
        </w:trPr>
        <w:tc>
          <w:tcPr>
            <w:tcW w:w="1526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Ditetapkan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 xml:space="preserve"> di</w:t>
            </w:r>
          </w:p>
        </w:tc>
        <w:tc>
          <w:tcPr>
            <w:tcW w:w="283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r w:rsidRPr="006A262C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Selayar</w:t>
            </w:r>
            <w:proofErr w:type="spellEnd"/>
          </w:p>
        </w:tc>
      </w:tr>
      <w:tr w:rsidR="00076A5F" w:rsidRPr="006A262C" w:rsidTr="00C429F7">
        <w:trPr>
          <w:jc w:val="right"/>
        </w:trPr>
        <w:tc>
          <w:tcPr>
            <w:tcW w:w="1526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Pada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 xml:space="preserve"> </w:t>
            </w:r>
            <w:proofErr w:type="spellStart"/>
            <w:r w:rsidRPr="006A262C">
              <w:rPr>
                <w:rFonts w:asciiTheme="majorHAnsi" w:hAnsiTheme="majorHAnsi"/>
                <w:sz w:val="22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r w:rsidRPr="006A262C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  <w:lang w:val="id-ID"/>
              </w:rPr>
            </w:pPr>
            <w:r w:rsidRPr="006A262C">
              <w:rPr>
                <w:rFonts w:asciiTheme="majorHAnsi" w:hAnsiTheme="majorHAnsi"/>
                <w:sz w:val="22"/>
              </w:rPr>
              <w:t xml:space="preserve">02 </w:t>
            </w:r>
            <w:proofErr w:type="spellStart"/>
            <w:r w:rsidRPr="006A262C">
              <w:rPr>
                <w:rFonts w:asciiTheme="majorHAnsi" w:hAnsiTheme="majorHAnsi"/>
                <w:sz w:val="22"/>
              </w:rPr>
              <w:t>Januari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 xml:space="preserve"> 20</w:t>
            </w:r>
            <w:r w:rsidRPr="006A262C">
              <w:rPr>
                <w:rFonts w:asciiTheme="majorHAnsi" w:hAnsiTheme="majorHAnsi"/>
                <w:sz w:val="22"/>
                <w:lang w:val="id-ID"/>
              </w:rPr>
              <w:t>20</w:t>
            </w:r>
          </w:p>
        </w:tc>
      </w:tr>
      <w:tr w:rsidR="00076A5F" w:rsidRPr="006A262C" w:rsidTr="00C429F7">
        <w:trPr>
          <w:jc w:val="right"/>
        </w:trPr>
        <w:tc>
          <w:tcPr>
            <w:tcW w:w="3794" w:type="dxa"/>
            <w:gridSpan w:val="3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Ketua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>,</w:t>
            </w: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  <w:lang w:val="id-ID"/>
              </w:rPr>
            </w:pPr>
            <w:r w:rsidRPr="006A262C">
              <w:rPr>
                <w:rFonts w:asciiTheme="majorHAnsi" w:hAnsiTheme="majorHAnsi"/>
                <w:b/>
                <w:sz w:val="22"/>
                <w:u w:val="single"/>
                <w:lang w:val="id-ID"/>
              </w:rPr>
              <w:t>Abdul Rahman, S.Ag.,M.H.</w:t>
            </w:r>
          </w:p>
          <w:p w:rsidR="00076A5F" w:rsidRPr="006A262C" w:rsidRDefault="00076A5F" w:rsidP="00076A5F">
            <w:pPr>
              <w:jc w:val="both"/>
              <w:rPr>
                <w:rFonts w:asciiTheme="majorHAnsi" w:hAnsiTheme="majorHAnsi"/>
                <w:sz w:val="22"/>
                <w:lang w:val="id-ID"/>
              </w:rPr>
            </w:pPr>
            <w:r w:rsidRPr="006A262C">
              <w:rPr>
                <w:rFonts w:asciiTheme="majorHAnsi" w:hAnsiTheme="majorHAnsi"/>
                <w:sz w:val="22"/>
              </w:rPr>
              <w:t xml:space="preserve">NIP. </w:t>
            </w:r>
            <w:r w:rsidRPr="006A262C">
              <w:rPr>
                <w:rFonts w:asciiTheme="majorHAnsi" w:hAnsiTheme="majorHAnsi"/>
                <w:sz w:val="22"/>
                <w:lang w:val="id-ID"/>
              </w:rPr>
              <w:t>19730212 199903 1 001</w:t>
            </w:r>
          </w:p>
        </w:tc>
      </w:tr>
    </w:tbl>
    <w:p w:rsidR="00076A5F" w:rsidRPr="00EA718C" w:rsidRDefault="00076A5F" w:rsidP="00076A5F">
      <w:pPr>
        <w:spacing w:after="0" w:line="240" w:lineRule="auto"/>
        <w:rPr>
          <w:rFonts w:asciiTheme="majorHAnsi" w:hAnsiTheme="majorHAnsi"/>
          <w:sz w:val="16"/>
          <w:szCs w:val="16"/>
          <w:lang w:val="id-ID"/>
        </w:rPr>
      </w:pPr>
      <w:r w:rsidRPr="00EA718C">
        <w:rPr>
          <w:rFonts w:asciiTheme="majorHAnsi" w:hAnsiTheme="majorHAnsi"/>
          <w:sz w:val="16"/>
          <w:szCs w:val="16"/>
          <w:lang w:val="id-ID"/>
        </w:rPr>
        <w:t xml:space="preserve">Tembusan </w:t>
      </w:r>
      <w:r w:rsidR="00435F9A">
        <w:rPr>
          <w:rFonts w:asciiTheme="majorHAnsi" w:hAnsiTheme="majorHAnsi"/>
          <w:sz w:val="16"/>
          <w:szCs w:val="16"/>
          <w:lang w:val="id-ID"/>
        </w:rPr>
        <w:t>Yth.</w:t>
      </w:r>
      <w:r w:rsidRPr="00EA718C">
        <w:rPr>
          <w:rFonts w:asciiTheme="majorHAnsi" w:hAnsiTheme="majorHAnsi"/>
          <w:sz w:val="16"/>
          <w:szCs w:val="16"/>
          <w:lang w:val="id-ID"/>
        </w:rPr>
        <w:t xml:space="preserve">: </w:t>
      </w:r>
    </w:p>
    <w:p w:rsidR="00076A5F" w:rsidRPr="00596707" w:rsidRDefault="00076A5F" w:rsidP="00076A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6"/>
          <w:szCs w:val="16"/>
        </w:rPr>
      </w:pPr>
      <w:proofErr w:type="spellStart"/>
      <w:r w:rsidRPr="00EA718C">
        <w:rPr>
          <w:rFonts w:asciiTheme="majorHAnsi" w:hAnsiTheme="majorHAnsi"/>
          <w:sz w:val="16"/>
          <w:szCs w:val="16"/>
        </w:rPr>
        <w:t>Ketua</w:t>
      </w:r>
      <w:proofErr w:type="spellEnd"/>
      <w:r w:rsidRPr="00EA718C">
        <w:rPr>
          <w:rFonts w:asciiTheme="majorHAnsi" w:hAnsiTheme="majorHAnsi"/>
          <w:sz w:val="16"/>
          <w:szCs w:val="16"/>
        </w:rPr>
        <w:t xml:space="preserve"> </w:t>
      </w:r>
      <w:proofErr w:type="spellStart"/>
      <w:r w:rsidRPr="00EA718C">
        <w:rPr>
          <w:rFonts w:asciiTheme="majorHAnsi" w:hAnsiTheme="majorHAnsi"/>
          <w:sz w:val="16"/>
          <w:szCs w:val="16"/>
        </w:rPr>
        <w:t>Pengadila</w:t>
      </w:r>
      <w:r>
        <w:rPr>
          <w:rFonts w:asciiTheme="majorHAnsi" w:hAnsiTheme="majorHAnsi"/>
          <w:sz w:val="16"/>
          <w:szCs w:val="16"/>
        </w:rPr>
        <w:t>n</w:t>
      </w:r>
      <w:proofErr w:type="spellEnd"/>
      <w:r>
        <w:rPr>
          <w:rFonts w:asciiTheme="majorHAnsi" w:hAnsiTheme="majorHAnsi"/>
          <w:sz w:val="16"/>
          <w:szCs w:val="16"/>
        </w:rPr>
        <w:t xml:space="preserve"> </w:t>
      </w:r>
      <w:proofErr w:type="spellStart"/>
      <w:r>
        <w:rPr>
          <w:rFonts w:asciiTheme="majorHAnsi" w:hAnsiTheme="majorHAnsi"/>
          <w:sz w:val="16"/>
          <w:szCs w:val="16"/>
        </w:rPr>
        <w:t>Tinggi</w:t>
      </w:r>
      <w:proofErr w:type="spellEnd"/>
      <w:r>
        <w:rPr>
          <w:rFonts w:asciiTheme="majorHAnsi" w:hAnsiTheme="majorHAnsi"/>
          <w:sz w:val="16"/>
          <w:szCs w:val="16"/>
        </w:rPr>
        <w:t xml:space="preserve"> Agama </w:t>
      </w:r>
      <w:r>
        <w:rPr>
          <w:rFonts w:asciiTheme="majorHAnsi" w:hAnsiTheme="majorHAnsi"/>
          <w:sz w:val="16"/>
          <w:szCs w:val="16"/>
          <w:lang w:val="id-ID"/>
        </w:rPr>
        <w:t>Makassar;</w:t>
      </w:r>
    </w:p>
    <w:p w:rsidR="00076A5F" w:rsidRPr="00EA718C" w:rsidRDefault="00076A5F" w:rsidP="00076A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  <w:lang w:val="id-ID"/>
        </w:rPr>
        <w:t>Yang bersangkutan;</w:t>
      </w:r>
    </w:p>
    <w:p w:rsidR="00076A5F" w:rsidRPr="00435F9A" w:rsidRDefault="00076A5F" w:rsidP="00076A5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16"/>
          <w:szCs w:val="16"/>
        </w:rPr>
      </w:pPr>
      <w:proofErr w:type="spellStart"/>
      <w:r w:rsidRPr="00EA718C">
        <w:rPr>
          <w:rFonts w:asciiTheme="majorHAnsi" w:hAnsiTheme="majorHAnsi"/>
          <w:sz w:val="16"/>
          <w:szCs w:val="16"/>
        </w:rPr>
        <w:t>Arsip</w:t>
      </w:r>
      <w:proofErr w:type="spellEnd"/>
    </w:p>
    <w:p w:rsidR="00435F9A" w:rsidRDefault="00435F9A">
      <w:pPr>
        <w:rPr>
          <w:rFonts w:asciiTheme="majorHAnsi" w:hAnsiTheme="majorHAnsi"/>
          <w:sz w:val="16"/>
          <w:szCs w:val="16"/>
          <w:lang w:val="id-ID"/>
        </w:rPr>
      </w:pPr>
      <w:r>
        <w:rPr>
          <w:rFonts w:asciiTheme="majorHAnsi" w:hAnsiTheme="majorHAnsi"/>
          <w:sz w:val="16"/>
          <w:szCs w:val="16"/>
          <w:lang w:val="id-ID"/>
        </w:rPr>
        <w:br w:type="page"/>
      </w:r>
    </w:p>
    <w:tbl>
      <w:tblPr>
        <w:tblStyle w:val="TableGrid"/>
        <w:tblW w:w="5070" w:type="dxa"/>
        <w:tblInd w:w="478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283"/>
        <w:gridCol w:w="3686"/>
      </w:tblGrid>
      <w:tr w:rsidR="00076A5F" w:rsidRPr="00EA718C" w:rsidTr="00FD4B2A">
        <w:tc>
          <w:tcPr>
            <w:tcW w:w="1101" w:type="dxa"/>
          </w:tcPr>
          <w:p w:rsidR="00076A5F" w:rsidRPr="006A262C" w:rsidRDefault="00076A5F" w:rsidP="00C429F7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lastRenderedPageBreak/>
              <w:t>Lampiran</w:t>
            </w:r>
            <w:proofErr w:type="spellEnd"/>
            <w:r w:rsidR="006A262C">
              <w:rPr>
                <w:rFonts w:asciiTheme="majorHAnsi" w:hAnsiTheme="majorHAnsi"/>
                <w:sz w:val="16"/>
                <w:szCs w:val="16"/>
                <w:lang w:val="id-ID"/>
              </w:rPr>
              <w:t xml:space="preserve"> I</w:t>
            </w:r>
          </w:p>
        </w:tc>
        <w:tc>
          <w:tcPr>
            <w:tcW w:w="283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b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Surat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Keputusan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Ketua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Pengadilan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Agama </w:t>
            </w:r>
            <w:proofErr w:type="spellStart"/>
            <w:r>
              <w:rPr>
                <w:rFonts w:asciiTheme="majorHAnsi" w:hAnsiTheme="majorHAnsi"/>
                <w:sz w:val="16"/>
                <w:szCs w:val="16"/>
              </w:rPr>
              <w:t>Selayar</w:t>
            </w:r>
            <w:proofErr w:type="spellEnd"/>
          </w:p>
        </w:tc>
      </w:tr>
      <w:tr w:rsidR="00076A5F" w:rsidRPr="00EA718C" w:rsidTr="00FD4B2A">
        <w:tc>
          <w:tcPr>
            <w:tcW w:w="1101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Nomor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</w:p>
        </w:tc>
        <w:tc>
          <w:tcPr>
            <w:tcW w:w="283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076A5F" w:rsidRPr="00076A5F" w:rsidRDefault="00076A5F" w:rsidP="00435F9A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>
              <w:rPr>
                <w:rFonts w:asciiTheme="majorHAnsi" w:hAnsiTheme="majorHAnsi"/>
                <w:sz w:val="16"/>
                <w:szCs w:val="16"/>
              </w:rPr>
              <w:t>W20-A17/SK.0</w:t>
            </w:r>
            <w:r w:rsidR="00FD4B2A">
              <w:rPr>
                <w:rFonts w:asciiTheme="majorHAnsi" w:hAnsiTheme="majorHAnsi"/>
                <w:sz w:val="16"/>
                <w:szCs w:val="16"/>
                <w:lang w:val="id-ID"/>
              </w:rPr>
              <w:t>3</w:t>
            </w:r>
            <w:r w:rsidR="00435F9A">
              <w:rPr>
                <w:rFonts w:asciiTheme="majorHAnsi" w:hAnsiTheme="majorHAnsi"/>
                <w:sz w:val="16"/>
                <w:szCs w:val="16"/>
                <w:lang w:val="id-ID"/>
              </w:rPr>
              <w:t>7</w:t>
            </w:r>
            <w:r>
              <w:rPr>
                <w:rFonts w:asciiTheme="majorHAnsi" w:hAnsiTheme="majorHAnsi"/>
                <w:sz w:val="16"/>
                <w:szCs w:val="16"/>
              </w:rPr>
              <w:t>/KP.02.1/I/20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  <w:tr w:rsidR="00076A5F" w:rsidRPr="00EA718C" w:rsidTr="00FD4B2A">
        <w:tc>
          <w:tcPr>
            <w:tcW w:w="1101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Tanggal</w:t>
            </w:r>
            <w:proofErr w:type="spellEnd"/>
          </w:p>
        </w:tc>
        <w:tc>
          <w:tcPr>
            <w:tcW w:w="283" w:type="dxa"/>
          </w:tcPr>
          <w:p w:rsidR="00076A5F" w:rsidRPr="00EA718C" w:rsidRDefault="00076A5F" w:rsidP="00C429F7">
            <w:pPr>
              <w:rPr>
                <w:rFonts w:asciiTheme="majorHAnsi" w:hAnsiTheme="majorHAnsi"/>
                <w:sz w:val="16"/>
                <w:szCs w:val="16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>:</w:t>
            </w:r>
          </w:p>
        </w:tc>
        <w:tc>
          <w:tcPr>
            <w:tcW w:w="3686" w:type="dxa"/>
          </w:tcPr>
          <w:p w:rsidR="00076A5F" w:rsidRPr="00076A5F" w:rsidRDefault="00076A5F" w:rsidP="00C429F7">
            <w:pPr>
              <w:rPr>
                <w:rFonts w:asciiTheme="majorHAnsi" w:hAnsiTheme="majorHAnsi"/>
                <w:sz w:val="16"/>
                <w:szCs w:val="16"/>
                <w:lang w:val="id-ID"/>
              </w:rPr>
            </w:pPr>
            <w:r w:rsidRPr="00EA718C">
              <w:rPr>
                <w:rFonts w:asciiTheme="majorHAnsi" w:hAnsiTheme="majorHAnsi"/>
                <w:sz w:val="16"/>
                <w:szCs w:val="16"/>
              </w:rPr>
              <w:t xml:space="preserve">02 </w:t>
            </w:r>
            <w:proofErr w:type="spellStart"/>
            <w:r w:rsidRPr="00EA718C">
              <w:rPr>
                <w:rFonts w:asciiTheme="majorHAnsi" w:hAnsiTheme="majorHAnsi"/>
                <w:sz w:val="16"/>
                <w:szCs w:val="16"/>
              </w:rPr>
              <w:t>Januari</w:t>
            </w:r>
            <w:proofErr w:type="spellEnd"/>
            <w:r w:rsidRPr="00EA718C">
              <w:rPr>
                <w:rFonts w:ascii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/>
                <w:sz w:val="16"/>
                <w:szCs w:val="16"/>
              </w:rPr>
              <w:t>20</w:t>
            </w:r>
            <w:r>
              <w:rPr>
                <w:rFonts w:asciiTheme="majorHAnsi" w:hAnsiTheme="majorHAnsi"/>
                <w:sz w:val="16"/>
                <w:szCs w:val="16"/>
                <w:lang w:val="id-ID"/>
              </w:rPr>
              <w:t>20</w:t>
            </w:r>
          </w:p>
        </w:tc>
      </w:tr>
    </w:tbl>
    <w:p w:rsidR="00076A5F" w:rsidRDefault="00076A5F" w:rsidP="00076A5F">
      <w:pPr>
        <w:pStyle w:val="Title"/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p w:rsidR="00F21D0C" w:rsidRDefault="00F21D0C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p w:rsidR="00163A25" w:rsidRPr="00F21D0C" w:rsidRDefault="00163A25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 w:rsidRPr="007F7045">
        <w:rPr>
          <w:rFonts w:asciiTheme="majorHAnsi" w:eastAsia="Malgun Gothic Semilight" w:hAnsiTheme="majorHAnsi" w:cs="Malgun Gothic Semilight"/>
          <w:b/>
        </w:rPr>
        <w:t xml:space="preserve">TIM </w:t>
      </w:r>
      <w:r w:rsidR="00F21D0C">
        <w:rPr>
          <w:rFonts w:asciiTheme="majorHAnsi" w:eastAsia="Malgun Gothic Semilight" w:hAnsiTheme="majorHAnsi" w:cs="Malgun Gothic Semilight"/>
          <w:b/>
          <w:lang w:val="id-ID"/>
        </w:rPr>
        <w:t>PENANGGUNG JAWAB ABSENSI</w:t>
      </w:r>
    </w:p>
    <w:p w:rsidR="00163A25" w:rsidRPr="007F7045" w:rsidRDefault="00163A25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</w:rPr>
      </w:pPr>
      <w:r w:rsidRPr="007F7045">
        <w:rPr>
          <w:rFonts w:asciiTheme="majorHAnsi" w:eastAsia="Malgun Gothic Semilight" w:hAnsiTheme="majorHAnsi" w:cs="Malgun Gothic Semilight"/>
          <w:b/>
          <w:lang w:val="id-ID"/>
        </w:rPr>
        <w:t xml:space="preserve">PADA </w:t>
      </w:r>
      <w:r w:rsidRPr="007F7045">
        <w:rPr>
          <w:rFonts w:asciiTheme="majorHAnsi" w:eastAsia="Malgun Gothic Semilight" w:hAnsiTheme="majorHAnsi" w:cs="Malgun Gothic Semilight"/>
          <w:b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</w:rPr>
        <w:t>SELAYAR</w:t>
      </w:r>
      <w:r w:rsidRPr="007F7045">
        <w:rPr>
          <w:rFonts w:asciiTheme="majorHAnsi" w:eastAsia="Malgun Gothic Semilight" w:hAnsiTheme="majorHAnsi" w:cs="Malgun Gothic Semilight"/>
          <w:b/>
          <w:lang w:val="id-ID"/>
        </w:rPr>
        <w:t xml:space="preserve"> </w:t>
      </w:r>
    </w:p>
    <w:p w:rsidR="00163A25" w:rsidRDefault="00163A25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  <w:r>
        <w:rPr>
          <w:rFonts w:asciiTheme="majorHAnsi" w:eastAsia="Malgun Gothic Semilight" w:hAnsiTheme="majorHAnsi" w:cs="Malgun Gothic Semilight"/>
          <w:b/>
        </w:rPr>
        <w:t>TAHUN 20</w:t>
      </w:r>
      <w:r>
        <w:rPr>
          <w:rFonts w:asciiTheme="majorHAnsi" w:eastAsia="Malgun Gothic Semilight" w:hAnsiTheme="majorHAnsi" w:cs="Malgun Gothic Semilight"/>
          <w:b/>
          <w:lang w:val="id-ID"/>
        </w:rPr>
        <w:t>20</w:t>
      </w:r>
    </w:p>
    <w:p w:rsidR="00F21D0C" w:rsidRPr="00076A5F" w:rsidRDefault="00F21D0C" w:rsidP="00163A25">
      <w:pPr>
        <w:spacing w:after="0" w:line="240" w:lineRule="auto"/>
        <w:jc w:val="center"/>
        <w:rPr>
          <w:rFonts w:asciiTheme="majorHAnsi" w:eastAsia="Malgun Gothic Semilight" w:hAnsiTheme="majorHAnsi" w:cs="Malgun Gothic Semilight"/>
          <w:b/>
          <w:lang w:val="id-ID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2669"/>
        <w:gridCol w:w="2038"/>
        <w:gridCol w:w="1931"/>
        <w:gridCol w:w="2444"/>
      </w:tblGrid>
      <w:tr w:rsidR="00F21D0C" w:rsidRPr="00F21D0C" w:rsidTr="00F21D0C">
        <w:trPr>
          <w:trHeight w:val="349"/>
        </w:trPr>
        <w:tc>
          <w:tcPr>
            <w:tcW w:w="558" w:type="dxa"/>
            <w:vMerge w:val="restart"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No</w:t>
            </w:r>
          </w:p>
        </w:tc>
        <w:tc>
          <w:tcPr>
            <w:tcW w:w="2669" w:type="dxa"/>
            <w:vMerge w:val="restart"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Nama</w:t>
            </w:r>
          </w:p>
        </w:tc>
        <w:tc>
          <w:tcPr>
            <w:tcW w:w="3969" w:type="dxa"/>
            <w:gridSpan w:val="2"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Jabatan</w:t>
            </w:r>
          </w:p>
        </w:tc>
        <w:tc>
          <w:tcPr>
            <w:tcW w:w="2444" w:type="dxa"/>
            <w:vMerge w:val="restart"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Uraian Tugas</w:t>
            </w:r>
          </w:p>
        </w:tc>
      </w:tr>
      <w:tr w:rsidR="00F21D0C" w:rsidRPr="00F21D0C" w:rsidTr="00F21D0C">
        <w:trPr>
          <w:trHeight w:val="564"/>
        </w:trPr>
        <w:tc>
          <w:tcPr>
            <w:tcW w:w="558" w:type="dxa"/>
            <w:vMerge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</w:p>
        </w:tc>
        <w:tc>
          <w:tcPr>
            <w:tcW w:w="2669" w:type="dxa"/>
            <w:vMerge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</w:p>
        </w:tc>
        <w:tc>
          <w:tcPr>
            <w:tcW w:w="2038" w:type="dxa"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Dinas</w:t>
            </w:r>
          </w:p>
        </w:tc>
        <w:tc>
          <w:tcPr>
            <w:tcW w:w="1931" w:type="dxa"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Tim</w:t>
            </w:r>
          </w:p>
        </w:tc>
        <w:tc>
          <w:tcPr>
            <w:tcW w:w="2444" w:type="dxa"/>
            <w:vMerge/>
            <w:vAlign w:val="center"/>
          </w:tcPr>
          <w:p w:rsidR="00F21D0C" w:rsidRPr="00F21D0C" w:rsidRDefault="00F21D0C" w:rsidP="00F21D0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</w:p>
        </w:tc>
      </w:tr>
      <w:tr w:rsidR="00F21D0C" w:rsidRPr="00F21D0C" w:rsidTr="00F21D0C">
        <w:tc>
          <w:tcPr>
            <w:tcW w:w="558" w:type="dxa"/>
          </w:tcPr>
          <w:p w:rsidR="00F21D0C" w:rsidRPr="00F21D0C" w:rsidRDefault="00F21D0C" w:rsidP="00F21D0C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1</w:t>
            </w:r>
          </w:p>
        </w:tc>
        <w:tc>
          <w:tcPr>
            <w:tcW w:w="2669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2</w:t>
            </w:r>
          </w:p>
        </w:tc>
        <w:tc>
          <w:tcPr>
            <w:tcW w:w="2038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3</w:t>
            </w:r>
          </w:p>
        </w:tc>
        <w:tc>
          <w:tcPr>
            <w:tcW w:w="1931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4</w:t>
            </w:r>
          </w:p>
        </w:tc>
        <w:tc>
          <w:tcPr>
            <w:tcW w:w="2444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b/>
                <w:bCs/>
                <w:sz w:val="20"/>
                <w:szCs w:val="18"/>
                <w:lang w:val="nb-NO"/>
              </w:rPr>
              <w:t>5</w:t>
            </w:r>
          </w:p>
        </w:tc>
      </w:tr>
      <w:tr w:rsidR="00F21D0C" w:rsidRPr="00F21D0C" w:rsidTr="00F21D0C">
        <w:tc>
          <w:tcPr>
            <w:tcW w:w="558" w:type="dxa"/>
          </w:tcPr>
          <w:p w:rsidR="00F21D0C" w:rsidRPr="00F21D0C" w:rsidRDefault="00F21D0C" w:rsidP="00F21D0C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1</w:t>
            </w:r>
          </w:p>
        </w:tc>
        <w:tc>
          <w:tcPr>
            <w:tcW w:w="2669" w:type="dxa"/>
          </w:tcPr>
          <w:p w:rsidR="00F21D0C" w:rsidRPr="00F21D0C" w:rsidRDefault="00F21D0C" w:rsidP="00F21D0C">
            <w:pPr>
              <w:rPr>
                <w:rFonts w:ascii="Arial" w:hAnsi="Arial" w:cs="Arial"/>
                <w:sz w:val="20"/>
                <w:szCs w:val="18"/>
                <w:lang w:val="id-ID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id-ID"/>
              </w:rPr>
              <w:t>Mustamin, Lc</w:t>
            </w:r>
          </w:p>
        </w:tc>
        <w:tc>
          <w:tcPr>
            <w:tcW w:w="2038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Wakil Ketua</w:t>
            </w:r>
          </w:p>
        </w:tc>
        <w:tc>
          <w:tcPr>
            <w:tcW w:w="1931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Koordinator</w:t>
            </w:r>
          </w:p>
        </w:tc>
        <w:tc>
          <w:tcPr>
            <w:tcW w:w="2444" w:type="dxa"/>
          </w:tcPr>
          <w:p w:rsidR="00F21D0C" w:rsidRDefault="00F21D0C" w:rsidP="00F21D0C">
            <w:pPr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Bertanggung jawab atas Rekapitulasi Absensi Hakim pada Pengadilan Agama Selayar</w:t>
            </w:r>
          </w:p>
          <w:p w:rsidR="00F21D0C" w:rsidRPr="00F21D0C" w:rsidRDefault="00F21D0C" w:rsidP="00F21D0C">
            <w:pPr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</w:tr>
      <w:tr w:rsidR="00F21D0C" w:rsidRPr="00F21D0C" w:rsidTr="00F21D0C">
        <w:tc>
          <w:tcPr>
            <w:tcW w:w="558" w:type="dxa"/>
          </w:tcPr>
          <w:p w:rsidR="00F21D0C" w:rsidRPr="00F21D0C" w:rsidRDefault="00F21D0C" w:rsidP="00F21D0C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2</w:t>
            </w:r>
          </w:p>
        </w:tc>
        <w:tc>
          <w:tcPr>
            <w:tcW w:w="2669" w:type="dxa"/>
          </w:tcPr>
          <w:p w:rsidR="00F21D0C" w:rsidRPr="00F21D0C" w:rsidRDefault="00F21D0C" w:rsidP="00F21D0C">
            <w:pPr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Hj. Asni Amin, S.HI.</w:t>
            </w:r>
          </w:p>
        </w:tc>
        <w:tc>
          <w:tcPr>
            <w:tcW w:w="2038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Sekretaris</w:t>
            </w:r>
          </w:p>
        </w:tc>
        <w:tc>
          <w:tcPr>
            <w:tcW w:w="1931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Penanggung jawab</w:t>
            </w:r>
          </w:p>
        </w:tc>
        <w:tc>
          <w:tcPr>
            <w:tcW w:w="2444" w:type="dxa"/>
          </w:tcPr>
          <w:p w:rsidR="00F21D0C" w:rsidRDefault="00F21D0C" w:rsidP="00F21D0C">
            <w:pPr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 xml:space="preserve">Bertanggung jawab atas Rekapitulasi Absensi Pegawai Negeri, dan Tenaga Honorer </w:t>
            </w:r>
            <w:r w:rsidRPr="00F21D0C">
              <w:rPr>
                <w:rFonts w:ascii="Arial" w:hAnsi="Arial"/>
                <w:sz w:val="20"/>
                <w:szCs w:val="18"/>
              </w:rPr>
              <w:t>(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Sopir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Pramubakti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Satpam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) 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pada Pengadilan Agama Selayar</w:t>
            </w:r>
          </w:p>
          <w:p w:rsidR="00F21D0C" w:rsidRPr="00F21D0C" w:rsidRDefault="00F21D0C" w:rsidP="00F21D0C">
            <w:pPr>
              <w:jc w:val="both"/>
              <w:rPr>
                <w:rFonts w:ascii="Arial" w:hAnsi="Arial"/>
                <w:sz w:val="20"/>
                <w:szCs w:val="18"/>
                <w:lang w:val="id-ID"/>
              </w:rPr>
            </w:pPr>
          </w:p>
        </w:tc>
      </w:tr>
      <w:tr w:rsidR="00F21D0C" w:rsidRPr="00F21D0C" w:rsidTr="00F21D0C">
        <w:tc>
          <w:tcPr>
            <w:tcW w:w="558" w:type="dxa"/>
          </w:tcPr>
          <w:p w:rsidR="00F21D0C" w:rsidRPr="00F21D0C" w:rsidRDefault="00F21D0C" w:rsidP="00F21D0C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3</w:t>
            </w:r>
          </w:p>
        </w:tc>
        <w:tc>
          <w:tcPr>
            <w:tcW w:w="2669" w:type="dxa"/>
          </w:tcPr>
          <w:p w:rsidR="00F21D0C" w:rsidRPr="00F21D0C" w:rsidRDefault="00F21D0C" w:rsidP="00F21D0C">
            <w:pPr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Muhammad Rizaldy, S.H.</w:t>
            </w:r>
          </w:p>
        </w:tc>
        <w:tc>
          <w:tcPr>
            <w:tcW w:w="2038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Kasubag Kepegawaian, Organisasi dan Tatalaksana</w:t>
            </w:r>
          </w:p>
        </w:tc>
        <w:tc>
          <w:tcPr>
            <w:tcW w:w="1931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Pelaksana</w:t>
            </w:r>
          </w:p>
        </w:tc>
        <w:tc>
          <w:tcPr>
            <w:tcW w:w="2444" w:type="dxa"/>
          </w:tcPr>
          <w:p w:rsidR="00F21D0C" w:rsidRPr="00F21D0C" w:rsidRDefault="00F21D0C" w:rsidP="00F21D0C">
            <w:pPr>
              <w:numPr>
                <w:ilvl w:val="0"/>
                <w:numId w:val="9"/>
              </w:numPr>
              <w:spacing w:after="0" w:line="240" w:lineRule="auto"/>
              <w:ind w:left="136" w:hanging="180"/>
              <w:jc w:val="both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 xml:space="preserve">Melaksanakan, Mengklarifikasi, Membuat dan Menandatangani Rekapitulasi Absensi Hakim, Pegawai Negeri, dan Tenaga Honorer </w:t>
            </w:r>
            <w:r w:rsidRPr="00F21D0C">
              <w:rPr>
                <w:rFonts w:ascii="Arial" w:hAnsi="Arial"/>
                <w:sz w:val="20"/>
                <w:szCs w:val="18"/>
              </w:rPr>
              <w:t>(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Sopir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Pramubakti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Satpam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) </w:t>
            </w:r>
            <w:r w:rsidRPr="00F21D0C">
              <w:rPr>
                <w:rFonts w:ascii="Arial" w:hAnsi="Arial"/>
                <w:sz w:val="20"/>
                <w:szCs w:val="18"/>
                <w:lang w:val="nb-NO"/>
              </w:rPr>
              <w:t xml:space="preserve"> 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pada Pengadilan Agama Selayar</w:t>
            </w:r>
          </w:p>
          <w:p w:rsidR="00F21D0C" w:rsidRPr="00F21D0C" w:rsidRDefault="00F21D0C" w:rsidP="00F21D0C">
            <w:pPr>
              <w:numPr>
                <w:ilvl w:val="0"/>
                <w:numId w:val="9"/>
              </w:numPr>
              <w:spacing w:after="0" w:line="240" w:lineRule="auto"/>
              <w:ind w:left="136" w:hanging="180"/>
              <w:jc w:val="both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 xml:space="preserve">Mengumpulkan dan Mengarsipkan Surat Tugas, Surat Cuti, Surat Keterangan Sakit dan Surat Izin bagi Hakim, Pegawai Negeri dan Tenaga Honorer </w:t>
            </w:r>
            <w:r w:rsidRPr="00F21D0C">
              <w:rPr>
                <w:rFonts w:ascii="Arial" w:hAnsi="Arial"/>
                <w:sz w:val="20"/>
                <w:szCs w:val="18"/>
              </w:rPr>
              <w:t>(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Sopir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Pramubakti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Satpam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) 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pada Pengadilan Agama Selayar</w:t>
            </w:r>
          </w:p>
          <w:p w:rsidR="00F21D0C" w:rsidRDefault="00F21D0C" w:rsidP="00F21D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  <w:p w:rsidR="00F21D0C" w:rsidRPr="00F21D0C" w:rsidRDefault="00F21D0C" w:rsidP="00F21D0C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18"/>
                <w:lang w:val="nb-NO"/>
              </w:rPr>
            </w:pPr>
          </w:p>
          <w:p w:rsidR="00F21D0C" w:rsidRPr="00F21D0C" w:rsidRDefault="00F21D0C" w:rsidP="00F21D0C">
            <w:pPr>
              <w:spacing w:after="0" w:line="240" w:lineRule="auto"/>
              <w:ind w:left="136"/>
              <w:jc w:val="both"/>
              <w:rPr>
                <w:rFonts w:ascii="Arial" w:hAnsi="Arial" w:cs="Arial"/>
                <w:sz w:val="20"/>
                <w:szCs w:val="18"/>
                <w:lang w:val="nb-NO"/>
              </w:rPr>
            </w:pPr>
          </w:p>
        </w:tc>
      </w:tr>
      <w:tr w:rsidR="00F21D0C" w:rsidRPr="00F21D0C" w:rsidTr="00F21D0C">
        <w:tc>
          <w:tcPr>
            <w:tcW w:w="558" w:type="dxa"/>
          </w:tcPr>
          <w:p w:rsidR="00F21D0C" w:rsidRPr="00F21D0C" w:rsidRDefault="00F21D0C" w:rsidP="00F21D0C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lastRenderedPageBreak/>
              <w:t>4</w:t>
            </w:r>
          </w:p>
        </w:tc>
        <w:tc>
          <w:tcPr>
            <w:tcW w:w="2669" w:type="dxa"/>
          </w:tcPr>
          <w:p w:rsidR="00F21D0C" w:rsidRPr="00F21D0C" w:rsidRDefault="00F21D0C" w:rsidP="00F21D0C">
            <w:pPr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id-ID"/>
              </w:rPr>
              <w:t>Syahruni Syamsu Umar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, S.</w:t>
            </w:r>
            <w:r w:rsidRPr="00F21D0C">
              <w:rPr>
                <w:rFonts w:ascii="Arial" w:hAnsi="Arial" w:cs="Arial"/>
                <w:sz w:val="20"/>
                <w:szCs w:val="18"/>
                <w:lang w:val="id-ID"/>
              </w:rPr>
              <w:t>H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.</w:t>
            </w:r>
          </w:p>
        </w:tc>
        <w:tc>
          <w:tcPr>
            <w:tcW w:w="2038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id-ID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id-ID"/>
              </w:rPr>
              <w:t>Fungsional Umum</w:t>
            </w:r>
          </w:p>
        </w:tc>
        <w:tc>
          <w:tcPr>
            <w:tcW w:w="1931" w:type="dxa"/>
          </w:tcPr>
          <w:p w:rsidR="00F21D0C" w:rsidRPr="00F21D0C" w:rsidRDefault="00F21D0C" w:rsidP="00D46E68">
            <w:pPr>
              <w:jc w:val="center"/>
              <w:rPr>
                <w:rFonts w:ascii="Arial" w:hAnsi="Arial" w:cs="Arial"/>
                <w:sz w:val="20"/>
                <w:szCs w:val="18"/>
                <w:lang w:val="nb-NO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Anggota / Petugas Absensi</w:t>
            </w:r>
          </w:p>
        </w:tc>
        <w:tc>
          <w:tcPr>
            <w:tcW w:w="2444" w:type="dxa"/>
          </w:tcPr>
          <w:p w:rsidR="00F21D0C" w:rsidRDefault="00F21D0C" w:rsidP="00F21D0C">
            <w:pPr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Menyediakan, Mengumpulkan, dan Membantu Mengklarifikasi</w:t>
            </w:r>
            <w:r>
              <w:rPr>
                <w:rFonts w:ascii="Arial" w:hAnsi="Arial" w:cs="Arial"/>
                <w:sz w:val="20"/>
                <w:szCs w:val="18"/>
                <w:lang w:val="id-ID"/>
              </w:rPr>
              <w:t xml:space="preserve"> 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 xml:space="preserve">/ Merekapitulasi Daftar Hadir dan Daftar Pulang (absensi), Surat Tugas, Surat Cuti, Surat Keterangan Sakit dan Surat Izin bagi Hakim, Pegawai Negeri, dan Tenaga Honorer </w:t>
            </w:r>
            <w:r w:rsidRPr="00F21D0C">
              <w:rPr>
                <w:rFonts w:ascii="Arial" w:hAnsi="Arial"/>
                <w:sz w:val="20"/>
                <w:szCs w:val="18"/>
              </w:rPr>
              <w:t>(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Sopir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Pramubakti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, </w:t>
            </w:r>
            <w:proofErr w:type="spellStart"/>
            <w:r w:rsidRPr="00F21D0C">
              <w:rPr>
                <w:rFonts w:ascii="Arial" w:hAnsi="Arial"/>
                <w:sz w:val="20"/>
                <w:szCs w:val="18"/>
              </w:rPr>
              <w:t>Satpam</w:t>
            </w:r>
            <w:proofErr w:type="spellEnd"/>
            <w:r w:rsidRPr="00F21D0C">
              <w:rPr>
                <w:rFonts w:ascii="Arial" w:hAnsi="Arial"/>
                <w:sz w:val="20"/>
                <w:szCs w:val="18"/>
              </w:rPr>
              <w:t xml:space="preserve">) </w:t>
            </w:r>
            <w:r w:rsidRPr="00F21D0C">
              <w:rPr>
                <w:rFonts w:ascii="Arial" w:hAnsi="Arial" w:cs="Arial"/>
                <w:sz w:val="20"/>
                <w:szCs w:val="18"/>
                <w:lang w:val="nb-NO"/>
              </w:rPr>
              <w:t>pada Pengadilan Agama Selayar.</w:t>
            </w:r>
          </w:p>
          <w:p w:rsidR="00F21D0C" w:rsidRDefault="00F21D0C" w:rsidP="00F21D0C">
            <w:pPr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  <w:p w:rsidR="00F21D0C" w:rsidRPr="00F21D0C" w:rsidRDefault="00F21D0C" w:rsidP="00F21D0C">
            <w:pPr>
              <w:jc w:val="both"/>
              <w:rPr>
                <w:rFonts w:ascii="Arial" w:hAnsi="Arial" w:cs="Arial"/>
                <w:sz w:val="20"/>
                <w:szCs w:val="18"/>
                <w:lang w:val="id-ID"/>
              </w:rPr>
            </w:pPr>
          </w:p>
        </w:tc>
      </w:tr>
    </w:tbl>
    <w:p w:rsidR="00163A25" w:rsidRDefault="00163A25" w:rsidP="00076A5F">
      <w:pPr>
        <w:pStyle w:val="Title"/>
        <w:tabs>
          <w:tab w:val="left" w:pos="1418"/>
          <w:tab w:val="left" w:pos="1701"/>
        </w:tabs>
        <w:spacing w:line="360" w:lineRule="auto"/>
        <w:ind w:left="1701" w:hanging="1701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</w:p>
    <w:p w:rsidR="00076A5F" w:rsidRPr="00596707" w:rsidRDefault="00076A5F" w:rsidP="00076A5F">
      <w:pPr>
        <w:pStyle w:val="BodyTextIndent2"/>
        <w:tabs>
          <w:tab w:val="left" w:pos="360"/>
          <w:tab w:val="left" w:pos="5220"/>
        </w:tabs>
        <w:spacing w:after="0" w:line="360" w:lineRule="auto"/>
        <w:ind w:left="0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  <w:r w:rsidRPr="00596707">
        <w:rPr>
          <w:rFonts w:asciiTheme="majorHAnsi" w:eastAsia="Malgun Gothic Semilight" w:hAnsiTheme="majorHAnsi" w:cs="Malgun Gothic Semilight"/>
          <w:sz w:val="22"/>
          <w:szCs w:val="22"/>
          <w:lang w:val="id-ID"/>
        </w:rPr>
        <w:tab/>
      </w:r>
    </w:p>
    <w:tbl>
      <w:tblPr>
        <w:tblStyle w:val="TableGrid"/>
        <w:tblW w:w="3794" w:type="dxa"/>
        <w:tblInd w:w="559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794"/>
      </w:tblGrid>
      <w:tr w:rsidR="00076A5F" w:rsidRPr="006A262C" w:rsidTr="00E366D9">
        <w:tc>
          <w:tcPr>
            <w:tcW w:w="3794" w:type="dxa"/>
          </w:tcPr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</w:rPr>
            </w:pPr>
            <w:proofErr w:type="spellStart"/>
            <w:r w:rsidRPr="006A262C">
              <w:rPr>
                <w:rFonts w:asciiTheme="majorHAnsi" w:hAnsiTheme="majorHAnsi"/>
                <w:sz w:val="22"/>
              </w:rPr>
              <w:t>Ketua</w:t>
            </w:r>
            <w:proofErr w:type="spellEnd"/>
            <w:r w:rsidRPr="006A262C">
              <w:rPr>
                <w:rFonts w:asciiTheme="majorHAnsi" w:hAnsiTheme="majorHAnsi"/>
                <w:sz w:val="22"/>
              </w:rPr>
              <w:t>,</w:t>
            </w: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bookmarkStart w:id="0" w:name="_GoBack"/>
            <w:bookmarkEnd w:id="0"/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b/>
                <w:sz w:val="22"/>
                <w:u w:val="single"/>
                <w:lang w:val="id-ID"/>
              </w:rPr>
            </w:pPr>
            <w:r w:rsidRPr="006A262C">
              <w:rPr>
                <w:rFonts w:asciiTheme="majorHAnsi" w:hAnsiTheme="majorHAnsi"/>
                <w:b/>
                <w:sz w:val="22"/>
                <w:u w:val="single"/>
                <w:lang w:val="id-ID"/>
              </w:rPr>
              <w:t>Abdul Rahman, S.Ag.,M.H.</w:t>
            </w:r>
          </w:p>
          <w:p w:rsidR="00076A5F" w:rsidRPr="006A262C" w:rsidRDefault="00076A5F" w:rsidP="00C429F7">
            <w:pPr>
              <w:jc w:val="both"/>
              <w:rPr>
                <w:rFonts w:asciiTheme="majorHAnsi" w:hAnsiTheme="majorHAnsi"/>
                <w:sz w:val="22"/>
                <w:lang w:val="id-ID"/>
              </w:rPr>
            </w:pPr>
            <w:r w:rsidRPr="006A262C">
              <w:rPr>
                <w:rFonts w:asciiTheme="majorHAnsi" w:hAnsiTheme="majorHAnsi"/>
                <w:sz w:val="22"/>
              </w:rPr>
              <w:t xml:space="preserve">NIP. </w:t>
            </w:r>
            <w:r w:rsidRPr="006A262C">
              <w:rPr>
                <w:rFonts w:asciiTheme="majorHAnsi" w:hAnsiTheme="majorHAnsi"/>
                <w:sz w:val="22"/>
                <w:lang w:val="id-ID"/>
              </w:rPr>
              <w:t>19730212 199903 1 001</w:t>
            </w:r>
          </w:p>
        </w:tc>
      </w:tr>
    </w:tbl>
    <w:p w:rsidR="00076A5F" w:rsidRPr="00596707" w:rsidRDefault="00076A5F" w:rsidP="00076A5F">
      <w:pPr>
        <w:pStyle w:val="BodyTextIndent2"/>
        <w:tabs>
          <w:tab w:val="left" w:pos="360"/>
          <w:tab w:val="left" w:pos="5220"/>
        </w:tabs>
        <w:spacing w:after="0" w:line="360" w:lineRule="auto"/>
        <w:ind w:left="0"/>
        <w:jc w:val="both"/>
        <w:rPr>
          <w:rFonts w:asciiTheme="majorHAnsi" w:eastAsia="Malgun Gothic Semilight" w:hAnsiTheme="majorHAnsi" w:cs="Malgun Gothic Semilight"/>
          <w:sz w:val="22"/>
          <w:szCs w:val="22"/>
          <w:lang w:val="id-ID"/>
        </w:rPr>
      </w:pPr>
      <w:r w:rsidRPr="00596707">
        <w:rPr>
          <w:rFonts w:asciiTheme="majorHAnsi" w:eastAsia="Malgun Gothic Semilight" w:hAnsiTheme="majorHAnsi" w:cs="Malgun Gothic Semilight"/>
          <w:sz w:val="22"/>
          <w:szCs w:val="22"/>
          <w:lang w:val="id-ID"/>
        </w:rPr>
        <w:tab/>
      </w:r>
    </w:p>
    <w:p w:rsidR="00076A5F" w:rsidRDefault="00076A5F" w:rsidP="00076A5F">
      <w:pPr>
        <w:spacing w:line="360" w:lineRule="auto"/>
        <w:rPr>
          <w:rFonts w:asciiTheme="majorHAnsi" w:hAnsiTheme="majorHAnsi"/>
          <w:lang w:val="id-ID"/>
        </w:rPr>
      </w:pPr>
    </w:p>
    <w:sectPr w:rsidR="00076A5F" w:rsidSect="00076A5F">
      <w:pgSz w:w="11907" w:h="16839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773C0"/>
    <w:multiLevelType w:val="hybridMultilevel"/>
    <w:tmpl w:val="49186A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BA629F"/>
    <w:multiLevelType w:val="hybridMultilevel"/>
    <w:tmpl w:val="0650743C"/>
    <w:lvl w:ilvl="0" w:tplc="9B4656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763557"/>
    <w:multiLevelType w:val="hybridMultilevel"/>
    <w:tmpl w:val="F43C23B0"/>
    <w:lvl w:ilvl="0" w:tplc="04210019">
      <w:start w:val="1"/>
      <w:numFmt w:val="lowerLetter"/>
      <w:lvlText w:val="%1."/>
      <w:lvlJc w:val="left"/>
      <w:pPr>
        <w:ind w:left="1027" w:hanging="360"/>
      </w:pPr>
    </w:lvl>
    <w:lvl w:ilvl="1" w:tplc="04210019" w:tentative="1">
      <w:start w:val="1"/>
      <w:numFmt w:val="lowerLetter"/>
      <w:lvlText w:val="%2."/>
      <w:lvlJc w:val="left"/>
      <w:pPr>
        <w:ind w:left="1747" w:hanging="360"/>
      </w:pPr>
    </w:lvl>
    <w:lvl w:ilvl="2" w:tplc="0421001B" w:tentative="1">
      <w:start w:val="1"/>
      <w:numFmt w:val="lowerRoman"/>
      <w:lvlText w:val="%3."/>
      <w:lvlJc w:val="right"/>
      <w:pPr>
        <w:ind w:left="2467" w:hanging="180"/>
      </w:pPr>
    </w:lvl>
    <w:lvl w:ilvl="3" w:tplc="0421000F" w:tentative="1">
      <w:start w:val="1"/>
      <w:numFmt w:val="decimal"/>
      <w:lvlText w:val="%4."/>
      <w:lvlJc w:val="left"/>
      <w:pPr>
        <w:ind w:left="3187" w:hanging="360"/>
      </w:pPr>
    </w:lvl>
    <w:lvl w:ilvl="4" w:tplc="04210019" w:tentative="1">
      <w:start w:val="1"/>
      <w:numFmt w:val="lowerLetter"/>
      <w:lvlText w:val="%5."/>
      <w:lvlJc w:val="left"/>
      <w:pPr>
        <w:ind w:left="3907" w:hanging="360"/>
      </w:pPr>
    </w:lvl>
    <w:lvl w:ilvl="5" w:tplc="0421001B" w:tentative="1">
      <w:start w:val="1"/>
      <w:numFmt w:val="lowerRoman"/>
      <w:lvlText w:val="%6."/>
      <w:lvlJc w:val="right"/>
      <w:pPr>
        <w:ind w:left="4627" w:hanging="180"/>
      </w:pPr>
    </w:lvl>
    <w:lvl w:ilvl="6" w:tplc="0421000F" w:tentative="1">
      <w:start w:val="1"/>
      <w:numFmt w:val="decimal"/>
      <w:lvlText w:val="%7."/>
      <w:lvlJc w:val="left"/>
      <w:pPr>
        <w:ind w:left="5347" w:hanging="360"/>
      </w:pPr>
    </w:lvl>
    <w:lvl w:ilvl="7" w:tplc="04210019" w:tentative="1">
      <w:start w:val="1"/>
      <w:numFmt w:val="lowerLetter"/>
      <w:lvlText w:val="%8."/>
      <w:lvlJc w:val="left"/>
      <w:pPr>
        <w:ind w:left="6067" w:hanging="360"/>
      </w:pPr>
    </w:lvl>
    <w:lvl w:ilvl="8" w:tplc="0421001B" w:tentative="1">
      <w:start w:val="1"/>
      <w:numFmt w:val="lowerRoman"/>
      <w:lvlText w:val="%9."/>
      <w:lvlJc w:val="right"/>
      <w:pPr>
        <w:ind w:left="6787" w:hanging="180"/>
      </w:pPr>
    </w:lvl>
  </w:abstractNum>
  <w:abstractNum w:abstractNumId="3">
    <w:nsid w:val="3F8E73E0"/>
    <w:multiLevelType w:val="hybridMultilevel"/>
    <w:tmpl w:val="44C0C47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BD4691"/>
    <w:multiLevelType w:val="hybridMultilevel"/>
    <w:tmpl w:val="C1BE21C0"/>
    <w:lvl w:ilvl="0" w:tplc="66124E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DDE554E"/>
    <w:multiLevelType w:val="hybridMultilevel"/>
    <w:tmpl w:val="986AAA0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DE56BCA"/>
    <w:multiLevelType w:val="hybridMultilevel"/>
    <w:tmpl w:val="986AAA08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9D1F8A"/>
    <w:multiLevelType w:val="hybridMultilevel"/>
    <w:tmpl w:val="C7C0C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1B86E2A"/>
    <w:multiLevelType w:val="hybridMultilevel"/>
    <w:tmpl w:val="07A212C4"/>
    <w:lvl w:ilvl="0" w:tplc="D87A7F38">
      <w:start w:val="1"/>
      <w:numFmt w:val="decimal"/>
      <w:lvlText w:val="%1."/>
      <w:lvlJc w:val="left"/>
      <w:pPr>
        <w:tabs>
          <w:tab w:val="num" w:pos="372"/>
        </w:tabs>
        <w:ind w:left="3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A5F"/>
    <w:rsid w:val="00076A5F"/>
    <w:rsid w:val="00122171"/>
    <w:rsid w:val="00163A25"/>
    <w:rsid w:val="00197D2C"/>
    <w:rsid w:val="003F6C73"/>
    <w:rsid w:val="00435F9A"/>
    <w:rsid w:val="0060033B"/>
    <w:rsid w:val="006A262C"/>
    <w:rsid w:val="00705C86"/>
    <w:rsid w:val="00760D96"/>
    <w:rsid w:val="008062FA"/>
    <w:rsid w:val="008637E4"/>
    <w:rsid w:val="009527BD"/>
    <w:rsid w:val="009B7B34"/>
    <w:rsid w:val="00BE0B77"/>
    <w:rsid w:val="00C429F7"/>
    <w:rsid w:val="00E366D9"/>
    <w:rsid w:val="00F21D0C"/>
    <w:rsid w:val="00F32FB2"/>
    <w:rsid w:val="00FD4B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6A5F"/>
    <w:pPr>
      <w:spacing w:after="0" w:line="240" w:lineRule="auto"/>
      <w:jc w:val="center"/>
    </w:pPr>
    <w:rPr>
      <w:rFonts w:ascii="Times New Roman" w:eastAsia="Times New Roman" w:hAnsi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76A5F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076A5F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A5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76A5F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6A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5F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A5F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76A5F"/>
    <w:pPr>
      <w:spacing w:after="0" w:line="240" w:lineRule="auto"/>
      <w:jc w:val="center"/>
    </w:pPr>
    <w:rPr>
      <w:rFonts w:ascii="Times New Roman" w:eastAsia="Times New Roman" w:hAnsi="Times New Roman"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076A5F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076A5F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76A5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076A5F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76A5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A5F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4</cp:revision>
  <cp:lastPrinted>2020-01-27T04:28:00Z</cp:lastPrinted>
  <dcterms:created xsi:type="dcterms:W3CDTF">2020-01-28T12:30:00Z</dcterms:created>
  <dcterms:modified xsi:type="dcterms:W3CDTF">2020-01-28T12:43:00Z</dcterms:modified>
</cp:coreProperties>
</file>