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AF" w:rsidRPr="0018503C" w:rsidRDefault="002E01AF" w:rsidP="002E01AF">
      <w:pPr>
        <w:spacing w:line="360" w:lineRule="auto"/>
        <w:jc w:val="center"/>
        <w:rPr>
          <w:rFonts w:asciiTheme="majorHAnsi" w:eastAsia="Malgun Gothic Semilight" w:hAnsiTheme="majorHAnsi" w:cs="Malgun Gothic Semilight"/>
          <w:sz w:val="24"/>
          <w:szCs w:val="24"/>
        </w:rPr>
      </w:pPr>
      <w:r w:rsidRPr="0018503C">
        <w:rPr>
          <w:rFonts w:asciiTheme="majorHAnsi" w:eastAsia="Malgun Gothic Semilight" w:hAnsiTheme="majorHAnsi" w:cs="Malgun Gothic Semilight"/>
          <w:noProof/>
          <w:sz w:val="24"/>
          <w:szCs w:val="24"/>
        </w:rPr>
        <w:drawing>
          <wp:inline distT="0" distB="0" distL="0" distR="0" wp14:anchorId="20617F7C" wp14:editId="57648EAA">
            <wp:extent cx="872671" cy="10638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71" cy="106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AF" w:rsidRPr="0018503C" w:rsidRDefault="002E01AF" w:rsidP="002E01A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18503C">
        <w:rPr>
          <w:rFonts w:asciiTheme="majorHAnsi" w:eastAsia="Malgun Gothic Semilight" w:hAnsiTheme="majorHAnsi" w:cs="Malgun Gothic Semilight"/>
          <w:b/>
          <w:sz w:val="24"/>
          <w:szCs w:val="24"/>
        </w:rPr>
        <w:t>SURAT KEPUTUSAN</w:t>
      </w:r>
    </w:p>
    <w:p w:rsidR="002E01AF" w:rsidRPr="0018503C" w:rsidRDefault="002E01AF" w:rsidP="002E01A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18503C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SELAYAR</w:t>
      </w:r>
    </w:p>
    <w:p w:rsidR="002E01AF" w:rsidRPr="0018503C" w:rsidRDefault="002E01AF" w:rsidP="002E01A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</w:pP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NOMOR  :  W20-A17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/SK.0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38</w:t>
      </w:r>
      <w:r w:rsidRPr="0018503C">
        <w:rPr>
          <w:rFonts w:asciiTheme="majorHAnsi" w:eastAsia="Malgun Gothic Semilight" w:hAnsiTheme="majorHAnsi" w:cs="Malgun Gothic Semilight"/>
          <w:b/>
          <w:sz w:val="24"/>
          <w:szCs w:val="24"/>
        </w:rPr>
        <w:t>/</w:t>
      </w:r>
      <w:r w:rsidRPr="0018503C"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  <w:t>PS.00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/I/2020</w:t>
      </w:r>
    </w:p>
    <w:p w:rsidR="002E01AF" w:rsidRPr="0018503C" w:rsidRDefault="002E01AF" w:rsidP="002E01A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</w:pPr>
      <w:r w:rsidRPr="0018503C">
        <w:rPr>
          <w:rFonts w:asciiTheme="majorHAnsi" w:eastAsia="Malgun Gothic Semilight" w:hAnsiTheme="majorHAnsi" w:cs="Malgun Gothic Semilight"/>
          <w:b/>
          <w:sz w:val="24"/>
          <w:szCs w:val="24"/>
        </w:rPr>
        <w:t>TENTANG</w:t>
      </w:r>
    </w:p>
    <w:p w:rsidR="002E01AF" w:rsidRPr="0018503C" w:rsidRDefault="002E01AF" w:rsidP="002E01AF">
      <w:pPr>
        <w:spacing w:after="0" w:line="36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18503C">
        <w:rPr>
          <w:rFonts w:asciiTheme="majorHAnsi" w:hAnsiTheme="majorHAnsi" w:cs="Arial"/>
          <w:b/>
          <w:sz w:val="24"/>
          <w:szCs w:val="24"/>
        </w:rPr>
        <w:t xml:space="preserve">PENUNJUKAN </w:t>
      </w:r>
      <w:r>
        <w:rPr>
          <w:rFonts w:asciiTheme="majorHAnsi" w:hAnsiTheme="majorHAnsi" w:cs="Arial"/>
          <w:b/>
          <w:sz w:val="24"/>
          <w:szCs w:val="24"/>
          <w:lang w:val="en-US"/>
        </w:rPr>
        <w:t xml:space="preserve">TIM </w:t>
      </w:r>
      <w:r w:rsidRPr="0018503C">
        <w:rPr>
          <w:rFonts w:asciiTheme="majorHAnsi" w:hAnsiTheme="majorHAnsi" w:cs="Arial"/>
          <w:b/>
          <w:sz w:val="24"/>
          <w:szCs w:val="24"/>
        </w:rPr>
        <w:t>PENGAWAS TENAGA HONORER</w:t>
      </w:r>
    </w:p>
    <w:p w:rsidR="002E01AF" w:rsidRPr="0018503C" w:rsidRDefault="002E01AF" w:rsidP="002E01AF">
      <w:pPr>
        <w:spacing w:after="0" w:line="36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18503C">
        <w:rPr>
          <w:rFonts w:asciiTheme="majorHAnsi" w:hAnsiTheme="majorHAnsi" w:cs="Arial"/>
          <w:b/>
          <w:sz w:val="24"/>
          <w:szCs w:val="24"/>
        </w:rPr>
        <w:t>(</w:t>
      </w:r>
      <w:r>
        <w:rPr>
          <w:rFonts w:asciiTheme="majorHAnsi" w:hAnsiTheme="majorHAnsi" w:cs="Arial"/>
          <w:b/>
          <w:sz w:val="24"/>
          <w:szCs w:val="24"/>
        </w:rPr>
        <w:t>SUPIR</w:t>
      </w:r>
      <w:r>
        <w:rPr>
          <w:rFonts w:asciiTheme="majorHAnsi" w:hAnsiTheme="majorHAnsi" w:cs="Arial"/>
          <w:b/>
          <w:sz w:val="24"/>
          <w:szCs w:val="24"/>
        </w:rPr>
        <w:t>, PRAMUBAKTI</w:t>
      </w:r>
      <w:r>
        <w:rPr>
          <w:rFonts w:asciiTheme="majorHAnsi" w:hAnsiTheme="majorHAnsi" w:cs="Arial"/>
          <w:b/>
          <w:sz w:val="24"/>
          <w:szCs w:val="24"/>
          <w:lang w:val="en-US"/>
        </w:rPr>
        <w:t xml:space="preserve"> DAN </w:t>
      </w:r>
      <w:r w:rsidRPr="0018503C">
        <w:rPr>
          <w:rFonts w:asciiTheme="majorHAnsi" w:hAnsiTheme="majorHAnsi" w:cs="Arial"/>
          <w:b/>
          <w:sz w:val="24"/>
          <w:szCs w:val="24"/>
        </w:rPr>
        <w:t>SATPAM)</w:t>
      </w:r>
    </w:p>
    <w:p w:rsidR="002E01AF" w:rsidRPr="0018503C" w:rsidRDefault="002E01AF" w:rsidP="002E01A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18503C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PADA PENGADILAN AGAMA 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SELAYAR</w:t>
      </w:r>
    </w:p>
    <w:p w:rsidR="002E01AF" w:rsidRPr="0018503C" w:rsidRDefault="002E01AF" w:rsidP="002E01A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18503C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TAHUN 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2020</w:t>
      </w:r>
    </w:p>
    <w:p w:rsidR="002E01AF" w:rsidRPr="0018503C" w:rsidRDefault="002E01AF" w:rsidP="002E01A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</w:p>
    <w:p w:rsidR="002E01AF" w:rsidRPr="0018503C" w:rsidRDefault="002E01AF" w:rsidP="002E01A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18503C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SELAYAR</w:t>
      </w:r>
    </w:p>
    <w:p w:rsidR="002E01AF" w:rsidRPr="0018503C" w:rsidRDefault="002E01AF" w:rsidP="002E01AF">
      <w:pPr>
        <w:spacing w:after="0" w:line="360" w:lineRule="auto"/>
        <w:jc w:val="both"/>
        <w:rPr>
          <w:rFonts w:asciiTheme="majorHAnsi" w:eastAsia="Malgun Gothic Semilight" w:hAnsiTheme="majorHAnsi" w:cs="Malgun Gothic Semilight"/>
        </w:rPr>
      </w:pPr>
    </w:p>
    <w:tbl>
      <w:tblPr>
        <w:tblW w:w="0" w:type="auto"/>
        <w:tblInd w:w="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77"/>
        <w:gridCol w:w="7564"/>
      </w:tblGrid>
      <w:tr w:rsidR="002E01AF" w:rsidRPr="0018503C" w:rsidTr="00D46E68">
        <w:trPr>
          <w:trHeight w:val="2728"/>
        </w:trPr>
        <w:tc>
          <w:tcPr>
            <w:tcW w:w="1383" w:type="dxa"/>
          </w:tcPr>
          <w:p w:rsidR="002E01AF" w:rsidRPr="0018503C" w:rsidRDefault="002E01AF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8503C">
              <w:rPr>
                <w:rFonts w:asciiTheme="majorHAnsi" w:eastAsia="Malgun Gothic Semilight" w:hAnsiTheme="majorHAnsi" w:cs="Malgun Gothic Semilight"/>
              </w:rPr>
              <w:t>Menimbang</w:t>
            </w:r>
          </w:p>
        </w:tc>
        <w:tc>
          <w:tcPr>
            <w:tcW w:w="277" w:type="dxa"/>
          </w:tcPr>
          <w:p w:rsidR="002E01AF" w:rsidRPr="0018503C" w:rsidRDefault="002E01AF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8503C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64" w:type="dxa"/>
          </w:tcPr>
          <w:p w:rsidR="002E01AF" w:rsidRPr="0018503C" w:rsidRDefault="002E01AF" w:rsidP="00D46E6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>Bahwa untuk kelancaran pelaksanaan tugas sehari-hari Tenaga Honorer (</w:t>
            </w:r>
            <w:r>
              <w:rPr>
                <w:rFonts w:asciiTheme="majorHAnsi" w:hAnsiTheme="majorHAnsi"/>
              </w:rPr>
              <w:t>Supir</w:t>
            </w:r>
            <w:r w:rsidRPr="0018503C">
              <w:rPr>
                <w:rFonts w:asciiTheme="majorHAnsi" w:hAnsiTheme="majorHAnsi"/>
              </w:rPr>
              <w:t>, Pramubakti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Pr="0018503C">
              <w:rPr>
                <w:rFonts w:asciiTheme="majorHAnsi" w:hAnsiTheme="majorHAnsi"/>
              </w:rPr>
              <w:t xml:space="preserve">Satpam) pada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 w:rsidRPr="0018503C">
              <w:rPr>
                <w:rFonts w:asciiTheme="majorHAnsi" w:hAnsiTheme="majorHAnsi"/>
              </w:rPr>
              <w:t>, maka perlu menunjuk pengawas untuk mengawasi, membina dan melakukan penilaian kinerj</w:t>
            </w:r>
            <w:r>
              <w:rPr>
                <w:rFonts w:asciiTheme="majorHAnsi" w:hAnsiTheme="majorHAnsi"/>
              </w:rPr>
              <w:t xml:space="preserve">a terhadap para Tenaga Honorer </w:t>
            </w:r>
            <w:r w:rsidRPr="0018503C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Supir</w:t>
            </w:r>
            <w:r w:rsidRPr="0018503C">
              <w:rPr>
                <w:rFonts w:asciiTheme="majorHAnsi" w:hAnsiTheme="majorHAnsi"/>
              </w:rPr>
              <w:t>, Pramubakti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Pr="0018503C">
              <w:rPr>
                <w:rFonts w:asciiTheme="majorHAnsi" w:hAnsiTheme="majorHAnsi"/>
              </w:rPr>
              <w:t xml:space="preserve">Satpam) pada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 w:rsidRPr="0018503C">
              <w:rPr>
                <w:rFonts w:asciiTheme="majorHAnsi" w:hAnsiTheme="majorHAnsi"/>
              </w:rPr>
              <w:t>;</w:t>
            </w:r>
          </w:p>
          <w:p w:rsidR="002E01AF" w:rsidRPr="0018503C" w:rsidRDefault="002E01AF" w:rsidP="00D46E6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>Bahwa yang tersebut namanya di bawah ini dipandang cakap dan mampu untuk ditunjuk sebagai pengawas Tenaga Honorer (</w:t>
            </w:r>
            <w:r>
              <w:rPr>
                <w:rFonts w:asciiTheme="majorHAnsi" w:hAnsiTheme="majorHAnsi"/>
              </w:rPr>
              <w:t>Supir</w:t>
            </w:r>
            <w:r w:rsidRPr="0018503C">
              <w:rPr>
                <w:rFonts w:asciiTheme="majorHAnsi" w:hAnsiTheme="majorHAnsi"/>
              </w:rPr>
              <w:t>, Pramubakti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Pr="0018503C">
              <w:rPr>
                <w:rFonts w:asciiTheme="majorHAnsi" w:hAnsiTheme="majorHAnsi"/>
              </w:rPr>
              <w:t xml:space="preserve">Satpam) pada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 w:rsidRPr="0018503C">
              <w:rPr>
                <w:rFonts w:asciiTheme="majorHAnsi" w:hAnsiTheme="majorHAnsi"/>
              </w:rPr>
              <w:t>;</w:t>
            </w:r>
          </w:p>
          <w:p w:rsidR="002E01AF" w:rsidRPr="0018503C" w:rsidRDefault="002E01AF" w:rsidP="00D46E6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 xml:space="preserve">Bahwa sehubungan dengan itu, dipandang perlu menetapkan dengan Surat Keputusan Ketua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 w:rsidRPr="0018503C">
              <w:rPr>
                <w:rFonts w:asciiTheme="majorHAnsi" w:hAnsiTheme="majorHAnsi"/>
              </w:rPr>
              <w:t>.</w:t>
            </w:r>
          </w:p>
        </w:tc>
      </w:tr>
      <w:tr w:rsidR="002E01AF" w:rsidRPr="0018503C" w:rsidTr="00D46E68">
        <w:trPr>
          <w:trHeight w:val="274"/>
        </w:trPr>
        <w:tc>
          <w:tcPr>
            <w:tcW w:w="1383" w:type="dxa"/>
          </w:tcPr>
          <w:p w:rsidR="002E01AF" w:rsidRPr="0018503C" w:rsidRDefault="002E01AF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8503C">
              <w:rPr>
                <w:rFonts w:asciiTheme="majorHAnsi" w:eastAsia="Malgun Gothic Semilight" w:hAnsiTheme="majorHAnsi" w:cs="Malgun Gothic Semilight"/>
              </w:rPr>
              <w:t>Mengingat</w:t>
            </w:r>
          </w:p>
        </w:tc>
        <w:tc>
          <w:tcPr>
            <w:tcW w:w="277" w:type="dxa"/>
          </w:tcPr>
          <w:p w:rsidR="002E01AF" w:rsidRPr="0018503C" w:rsidRDefault="002E01AF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8503C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64" w:type="dxa"/>
          </w:tcPr>
          <w:p w:rsidR="002E01AF" w:rsidRPr="0018503C" w:rsidRDefault="002E01AF" w:rsidP="00D46E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>Undang-Undang Nomor 7 Tahun 1989 jo Undang-Undang Nomor 3 Tahun 2006 jo Undang-Undang Nomor 50 Tahun 2009;</w:t>
            </w:r>
          </w:p>
          <w:p w:rsidR="002E01AF" w:rsidRPr="0018503C" w:rsidRDefault="002E01AF" w:rsidP="00D46E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>Peraturan Pemerintah Nomor 9 Tahun 2009;</w:t>
            </w:r>
          </w:p>
          <w:p w:rsidR="002E01AF" w:rsidRPr="0018503C" w:rsidRDefault="002E01AF" w:rsidP="00D46E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>Peraturan Pemerintah Nomor 43 Tahun 2007;</w:t>
            </w:r>
          </w:p>
          <w:p w:rsidR="002E01AF" w:rsidRPr="0018503C" w:rsidRDefault="002E01AF" w:rsidP="00D46E6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 xml:space="preserve">Peraturan Kepala Badan Kepegawaian Negara Nomor 21 Tahun 2010 tentang ketentuan Pelaksanaan PP No. 7 Tahun 2010. </w:t>
            </w:r>
          </w:p>
        </w:tc>
      </w:tr>
      <w:tr w:rsidR="002E01AF" w:rsidRPr="0018503C" w:rsidTr="00D46E68">
        <w:trPr>
          <w:gridBefore w:val="2"/>
          <w:wBefore w:w="1660" w:type="dxa"/>
          <w:trHeight w:val="274"/>
        </w:trPr>
        <w:tc>
          <w:tcPr>
            <w:tcW w:w="7564" w:type="dxa"/>
          </w:tcPr>
          <w:p w:rsidR="002E01AF" w:rsidRDefault="002E01AF" w:rsidP="00D46E68">
            <w:pPr>
              <w:pStyle w:val="ListParagraph"/>
              <w:spacing w:before="240" w:line="360" w:lineRule="auto"/>
              <w:ind w:left="-1047"/>
              <w:jc w:val="center"/>
              <w:rPr>
                <w:rFonts w:asciiTheme="majorHAnsi" w:eastAsia="Malgun Gothic Semilight" w:hAnsiTheme="majorHAnsi" w:cs="Malgun Gothic Semilight"/>
                <w:b/>
                <w:lang w:val="en-US"/>
              </w:rPr>
            </w:pPr>
          </w:p>
          <w:p w:rsidR="002E01AF" w:rsidRPr="0018503C" w:rsidRDefault="002E01AF" w:rsidP="00D46E68">
            <w:pPr>
              <w:pStyle w:val="ListParagraph"/>
              <w:spacing w:before="240" w:line="360" w:lineRule="auto"/>
              <w:ind w:left="-1047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>
              <w:rPr>
                <w:rFonts w:asciiTheme="majorHAnsi" w:eastAsia="Malgun Gothic Semilight" w:hAnsiTheme="majorHAnsi" w:cs="Malgun Gothic Semilight"/>
                <w:b/>
                <w:lang w:val="en-US"/>
              </w:rPr>
              <w:lastRenderedPageBreak/>
              <w:t>MEMUTU</w:t>
            </w:r>
            <w:r w:rsidRPr="0018503C">
              <w:rPr>
                <w:rFonts w:asciiTheme="majorHAnsi" w:eastAsia="Malgun Gothic Semilight" w:hAnsiTheme="majorHAnsi" w:cs="Malgun Gothic Semilight"/>
                <w:b/>
              </w:rPr>
              <w:t>SKAN</w:t>
            </w:r>
          </w:p>
        </w:tc>
      </w:tr>
      <w:tr w:rsidR="002E01AF" w:rsidRPr="0018503C" w:rsidTr="00D46E68">
        <w:trPr>
          <w:trHeight w:val="762"/>
        </w:trPr>
        <w:tc>
          <w:tcPr>
            <w:tcW w:w="1383" w:type="dxa"/>
          </w:tcPr>
          <w:p w:rsidR="002E01AF" w:rsidRPr="0018503C" w:rsidRDefault="002E01AF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8503C">
              <w:rPr>
                <w:rFonts w:asciiTheme="majorHAnsi" w:eastAsia="Malgun Gothic Semilight" w:hAnsiTheme="majorHAnsi" w:cs="Malgun Gothic Semilight"/>
              </w:rPr>
              <w:lastRenderedPageBreak/>
              <w:t xml:space="preserve">Menetapkan </w:t>
            </w:r>
          </w:p>
        </w:tc>
        <w:tc>
          <w:tcPr>
            <w:tcW w:w="277" w:type="dxa"/>
          </w:tcPr>
          <w:p w:rsidR="002E01AF" w:rsidRPr="0018503C" w:rsidRDefault="002E01AF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8503C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64" w:type="dxa"/>
          </w:tcPr>
          <w:p w:rsidR="002E01AF" w:rsidRPr="0018503C" w:rsidRDefault="002E01AF" w:rsidP="00D46E68">
            <w:pPr>
              <w:spacing w:after="0" w:line="360" w:lineRule="auto"/>
              <w:jc w:val="both"/>
              <w:rPr>
                <w:rFonts w:asciiTheme="majorHAnsi" w:eastAsia="Malgun Gothic Semilight" w:hAnsiTheme="majorHAnsi" w:cs="Malgun Gothic Semilight"/>
                <w:b/>
              </w:rPr>
            </w:pPr>
            <w:r w:rsidRPr="0018503C">
              <w:rPr>
                <w:rFonts w:asciiTheme="majorHAnsi" w:eastAsia="Malgun Gothic Semilight" w:hAnsiTheme="majorHAnsi" w:cs="Malgun Gothic Semilight"/>
                <w:b/>
              </w:rPr>
              <w:t xml:space="preserve">SURAT KEPUTUSAN KETUA PENGADILAN AGAMA </w:t>
            </w:r>
            <w:r>
              <w:rPr>
                <w:rFonts w:asciiTheme="majorHAnsi" w:eastAsia="Malgun Gothic Semilight" w:hAnsiTheme="majorHAnsi" w:cs="Malgun Gothic Semilight"/>
                <w:b/>
              </w:rPr>
              <w:t>SELAYAR</w:t>
            </w:r>
            <w:r w:rsidRPr="0018503C">
              <w:rPr>
                <w:rFonts w:asciiTheme="majorHAnsi" w:eastAsia="Malgun Gothic Semilight" w:hAnsiTheme="majorHAnsi" w:cs="Malgun Gothic Semilight"/>
                <w:b/>
              </w:rPr>
              <w:t xml:space="preserve"> TENTANG </w:t>
            </w:r>
            <w:r w:rsidRPr="0018503C">
              <w:rPr>
                <w:rFonts w:asciiTheme="majorHAnsi" w:hAnsiTheme="majorHAnsi"/>
                <w:b/>
              </w:rPr>
              <w:t>PENUNJUKAN</w:t>
            </w:r>
            <w:r w:rsidRPr="0018503C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18503C">
              <w:rPr>
                <w:rFonts w:asciiTheme="majorHAnsi" w:hAnsiTheme="majorHAnsi"/>
                <w:b/>
              </w:rPr>
              <w:t>TIM PENGAWAS TENAGA HONORER</w:t>
            </w:r>
            <w:r w:rsidRPr="0018503C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18503C">
              <w:rPr>
                <w:rFonts w:asciiTheme="majorHAnsi" w:hAnsiTheme="majorHAnsi"/>
                <w:b/>
              </w:rPr>
              <w:t>(</w:t>
            </w:r>
            <w:r>
              <w:rPr>
                <w:rFonts w:asciiTheme="majorHAnsi" w:hAnsiTheme="majorHAnsi"/>
                <w:b/>
              </w:rPr>
              <w:t>SUPIR</w:t>
            </w:r>
            <w:r w:rsidRPr="0018503C">
              <w:rPr>
                <w:rFonts w:asciiTheme="majorHAnsi" w:hAnsiTheme="majorHAnsi"/>
                <w:b/>
              </w:rPr>
              <w:t>,</w:t>
            </w:r>
            <w:r w:rsidRPr="0018503C">
              <w:rPr>
                <w:rFonts w:asciiTheme="majorHAnsi" w:hAnsiTheme="majorHAnsi"/>
                <w:b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</w:rPr>
              <w:t>PRAMUBAKTI</w:t>
            </w:r>
            <w:r>
              <w:rPr>
                <w:rFonts w:asciiTheme="majorHAnsi" w:hAnsiTheme="majorHAnsi"/>
                <w:b/>
                <w:lang w:val="en-US"/>
              </w:rPr>
              <w:t xml:space="preserve"> DAN </w:t>
            </w:r>
            <w:r w:rsidRPr="0018503C">
              <w:rPr>
                <w:rFonts w:asciiTheme="majorHAnsi" w:hAnsiTheme="majorHAnsi"/>
                <w:b/>
              </w:rPr>
              <w:t xml:space="preserve">SATPAM) </w:t>
            </w:r>
            <w:r w:rsidRPr="0018503C">
              <w:rPr>
                <w:rFonts w:asciiTheme="majorHAnsi" w:eastAsia="Malgun Gothic Semilight" w:hAnsiTheme="majorHAnsi" w:cs="Malgun Gothic Semilight"/>
                <w:b/>
              </w:rPr>
              <w:t xml:space="preserve">PADA PENGADILAN AGAMA </w:t>
            </w:r>
            <w:r>
              <w:rPr>
                <w:rFonts w:asciiTheme="majorHAnsi" w:eastAsia="Malgun Gothic Semilight" w:hAnsiTheme="majorHAnsi" w:cs="Malgun Gothic Semilight"/>
                <w:b/>
              </w:rPr>
              <w:t>SELAYAR</w:t>
            </w:r>
            <w:r w:rsidRPr="0018503C">
              <w:rPr>
                <w:rFonts w:asciiTheme="majorHAnsi" w:eastAsia="Malgun Gothic Semilight" w:hAnsiTheme="majorHAnsi" w:cs="Malgun Gothic Semilight"/>
                <w:b/>
              </w:rPr>
              <w:t xml:space="preserve"> TAHUN </w:t>
            </w:r>
            <w:r>
              <w:rPr>
                <w:rFonts w:asciiTheme="majorHAnsi" w:eastAsia="Malgun Gothic Semilight" w:hAnsiTheme="majorHAnsi" w:cs="Malgun Gothic Semilight"/>
                <w:b/>
              </w:rPr>
              <w:t>2020</w:t>
            </w:r>
          </w:p>
        </w:tc>
      </w:tr>
      <w:tr w:rsidR="002E01AF" w:rsidRPr="0018503C" w:rsidTr="00D46E68">
        <w:tc>
          <w:tcPr>
            <w:tcW w:w="1383" w:type="dxa"/>
          </w:tcPr>
          <w:p w:rsidR="002E01AF" w:rsidRPr="0018503C" w:rsidRDefault="002E01AF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8503C">
              <w:rPr>
                <w:rFonts w:asciiTheme="majorHAnsi" w:eastAsia="Malgun Gothic Semilight" w:hAnsiTheme="majorHAnsi" w:cs="Malgun Gothic Semilight"/>
              </w:rPr>
              <w:t>Pertama</w:t>
            </w:r>
          </w:p>
        </w:tc>
        <w:tc>
          <w:tcPr>
            <w:tcW w:w="277" w:type="dxa"/>
          </w:tcPr>
          <w:p w:rsidR="002E01AF" w:rsidRPr="0018503C" w:rsidRDefault="002E01AF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8503C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64" w:type="dxa"/>
          </w:tcPr>
          <w:p w:rsidR="002E01AF" w:rsidRPr="0018503C" w:rsidRDefault="002E01AF" w:rsidP="00D46E68">
            <w:pPr>
              <w:pStyle w:val="ListParagraph"/>
              <w:spacing w:after="0" w:line="360" w:lineRule="auto"/>
              <w:ind w:left="0"/>
              <w:jc w:val="both"/>
              <w:rPr>
                <w:rFonts w:asciiTheme="majorHAnsi" w:hAnsiTheme="majorHAnsi"/>
                <w:lang w:val="en-US"/>
              </w:rPr>
            </w:pPr>
            <w:r w:rsidRPr="0018503C">
              <w:rPr>
                <w:rFonts w:asciiTheme="majorHAnsi" w:hAnsiTheme="majorHAnsi"/>
              </w:rPr>
              <w:t>Menunjuk yang namanya tersebut dalam lampiran surat keputusan ini sebagai Pengawas Tenaga Honorer (</w:t>
            </w:r>
            <w:r>
              <w:rPr>
                <w:rFonts w:asciiTheme="majorHAnsi" w:hAnsiTheme="majorHAnsi"/>
              </w:rPr>
              <w:t>Supir</w:t>
            </w:r>
            <w:r w:rsidRPr="0018503C">
              <w:rPr>
                <w:rFonts w:asciiTheme="majorHAnsi" w:hAnsiTheme="majorHAnsi"/>
              </w:rPr>
              <w:t>, Pramubakti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Pr="0018503C">
              <w:rPr>
                <w:rFonts w:asciiTheme="majorHAnsi" w:hAnsiTheme="majorHAnsi"/>
              </w:rPr>
              <w:t xml:space="preserve">Satpam) pada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 w:rsidRPr="0018503C">
              <w:rPr>
                <w:rFonts w:asciiTheme="majorHAnsi" w:hAnsiTheme="majorHAnsi"/>
              </w:rPr>
              <w:t>;</w:t>
            </w:r>
          </w:p>
        </w:tc>
      </w:tr>
      <w:tr w:rsidR="002E01AF" w:rsidRPr="0018503C" w:rsidTr="00D46E68">
        <w:tc>
          <w:tcPr>
            <w:tcW w:w="1383" w:type="dxa"/>
          </w:tcPr>
          <w:p w:rsidR="002E01AF" w:rsidRPr="0018503C" w:rsidRDefault="002E01AF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8503C">
              <w:rPr>
                <w:rFonts w:asciiTheme="majorHAnsi" w:eastAsia="Malgun Gothic Semilight" w:hAnsiTheme="majorHAnsi" w:cs="Malgun Gothic Semilight"/>
              </w:rPr>
              <w:t>Kedua</w:t>
            </w:r>
          </w:p>
        </w:tc>
        <w:tc>
          <w:tcPr>
            <w:tcW w:w="277" w:type="dxa"/>
          </w:tcPr>
          <w:p w:rsidR="002E01AF" w:rsidRPr="0018503C" w:rsidRDefault="002E01AF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8503C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64" w:type="dxa"/>
          </w:tcPr>
          <w:p w:rsidR="002E01AF" w:rsidRPr="0018503C" w:rsidRDefault="002E01AF" w:rsidP="00D46E68">
            <w:pPr>
              <w:spacing w:after="0" w:line="360" w:lineRule="auto"/>
              <w:jc w:val="both"/>
              <w:rPr>
                <w:rFonts w:asciiTheme="majorHAnsi" w:hAnsiTheme="majorHAnsi" w:cs="Arial"/>
              </w:rPr>
            </w:pPr>
            <w:r w:rsidRPr="0018503C">
              <w:rPr>
                <w:rFonts w:asciiTheme="majorHAnsi" w:hAnsiTheme="majorHAnsi" w:cs="Arial"/>
              </w:rPr>
              <w:t>Kepada yang bersangkutan ditugaskan untuk</w:t>
            </w:r>
            <w:r>
              <w:rPr>
                <w:rFonts w:asciiTheme="majorHAnsi" w:hAnsiTheme="majorHAnsi" w:cs="Arial"/>
                <w:lang w:val="en-US"/>
              </w:rPr>
              <w:t xml:space="preserve"> </w:t>
            </w:r>
            <w:r w:rsidRPr="0018503C">
              <w:rPr>
                <w:rFonts w:asciiTheme="majorHAnsi" w:hAnsiTheme="majorHAnsi" w:cs="Arial"/>
              </w:rPr>
              <w:t>:</w:t>
            </w:r>
          </w:p>
          <w:p w:rsidR="002E01AF" w:rsidRPr="0018503C" w:rsidRDefault="002E01AF" w:rsidP="002E01A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247" w:hanging="270"/>
              <w:jc w:val="both"/>
              <w:rPr>
                <w:rFonts w:asciiTheme="majorHAnsi" w:hAnsiTheme="majorHAnsi" w:cs="Arial"/>
              </w:rPr>
            </w:pPr>
            <w:r w:rsidRPr="0018503C">
              <w:rPr>
                <w:rFonts w:asciiTheme="majorHAnsi" w:hAnsiTheme="majorHAnsi"/>
              </w:rPr>
              <w:t>Melakukan pembinaan dan pengawasan terhadap para Tenaga Honorer (</w:t>
            </w:r>
            <w:r>
              <w:rPr>
                <w:rFonts w:asciiTheme="majorHAnsi" w:hAnsiTheme="majorHAnsi"/>
              </w:rPr>
              <w:t>Supir</w:t>
            </w:r>
            <w:r w:rsidRPr="0018503C">
              <w:rPr>
                <w:rFonts w:asciiTheme="majorHAnsi" w:hAnsiTheme="majorHAnsi"/>
              </w:rPr>
              <w:t>, Pramubakti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Pr="0018503C">
              <w:rPr>
                <w:rFonts w:asciiTheme="majorHAnsi" w:hAnsiTheme="majorHAnsi"/>
              </w:rPr>
              <w:t>Satpam) dalam melaksanakan tugasnya masing-masing sesuai dengan uraian tugas dan tanggung jawab yang diberikan kepada mereka;</w:t>
            </w:r>
          </w:p>
          <w:p w:rsidR="002E01AF" w:rsidRPr="00412C69" w:rsidRDefault="002E01AF" w:rsidP="002E01A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247" w:hanging="270"/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>Melakukan penilaian terhad</w:t>
            </w:r>
            <w:r>
              <w:rPr>
                <w:rFonts w:asciiTheme="majorHAnsi" w:hAnsiTheme="majorHAnsi"/>
              </w:rPr>
              <w:t xml:space="preserve">ap kinerja para Tenaga Honorer </w:t>
            </w:r>
            <w:r w:rsidRPr="0018503C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Supir</w:t>
            </w:r>
            <w:r w:rsidRPr="0018503C">
              <w:rPr>
                <w:rFonts w:asciiTheme="majorHAnsi" w:hAnsiTheme="majorHAnsi"/>
              </w:rPr>
              <w:t>, Pramubakti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Pr="0018503C">
              <w:rPr>
                <w:rFonts w:asciiTheme="majorHAnsi" w:hAnsiTheme="majorHAnsi"/>
              </w:rPr>
              <w:t xml:space="preserve">Satpam) </w:t>
            </w:r>
            <w:r>
              <w:rPr>
                <w:rFonts w:asciiTheme="majorHAnsi" w:hAnsiTheme="majorHAnsi"/>
                <w:lang w:val="en-US"/>
              </w:rPr>
              <w:t>;</w:t>
            </w:r>
          </w:p>
          <w:p w:rsidR="002E01AF" w:rsidRPr="0018503C" w:rsidRDefault="002E01AF" w:rsidP="002E01A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247" w:hanging="270"/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>Melaporkan hasil pembinaan, pengawasan dan penilaian terhadap para Tenaga Honorer (</w:t>
            </w:r>
            <w:r>
              <w:rPr>
                <w:rFonts w:asciiTheme="majorHAnsi" w:hAnsiTheme="majorHAnsi"/>
              </w:rPr>
              <w:t>Supir</w:t>
            </w:r>
            <w:r w:rsidRPr="0018503C">
              <w:rPr>
                <w:rFonts w:asciiTheme="majorHAnsi" w:hAnsiTheme="majorHAnsi"/>
              </w:rPr>
              <w:t>, Pramubakti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Pr="0018503C">
              <w:rPr>
                <w:rFonts w:asciiTheme="majorHAnsi" w:hAnsiTheme="majorHAnsi"/>
              </w:rPr>
              <w:t>Satpam</w:t>
            </w:r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r w:rsidRPr="0018503C">
              <w:rPr>
                <w:rFonts w:asciiTheme="majorHAnsi" w:hAnsiTheme="majorHAnsi"/>
              </w:rPr>
              <w:t>kepada Panitera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r w:rsidRPr="0018503C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r w:rsidRPr="0018503C">
              <w:rPr>
                <w:rFonts w:asciiTheme="majorHAnsi" w:hAnsiTheme="majorHAnsi"/>
              </w:rPr>
              <w:t xml:space="preserve">Sekretaris dan Ketua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 w:rsidRPr="0018503C">
              <w:rPr>
                <w:rFonts w:asciiTheme="majorHAnsi" w:hAnsiTheme="majorHAnsi"/>
              </w:rPr>
              <w:t xml:space="preserve">.  </w:t>
            </w:r>
          </w:p>
          <w:p w:rsidR="002E01AF" w:rsidRPr="0018503C" w:rsidRDefault="002E01AF" w:rsidP="002E01A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247" w:hanging="270"/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>Melaksanakan tugas dengan penuh rasa tanggungjawab.</w:t>
            </w:r>
          </w:p>
        </w:tc>
      </w:tr>
      <w:tr w:rsidR="002E01AF" w:rsidRPr="0018503C" w:rsidTr="00D46E68">
        <w:tc>
          <w:tcPr>
            <w:tcW w:w="1383" w:type="dxa"/>
          </w:tcPr>
          <w:p w:rsidR="002E01AF" w:rsidRPr="0018503C" w:rsidRDefault="002E01AF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8503C">
              <w:rPr>
                <w:rFonts w:asciiTheme="majorHAnsi" w:eastAsia="Malgun Gothic Semilight" w:hAnsiTheme="majorHAnsi" w:cs="Malgun Gothic Semilight"/>
              </w:rPr>
              <w:t>Ketiga</w:t>
            </w:r>
          </w:p>
        </w:tc>
        <w:tc>
          <w:tcPr>
            <w:tcW w:w="277" w:type="dxa"/>
          </w:tcPr>
          <w:p w:rsidR="002E01AF" w:rsidRPr="0018503C" w:rsidRDefault="002E01AF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18503C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64" w:type="dxa"/>
          </w:tcPr>
          <w:p w:rsidR="002E01AF" w:rsidRPr="0018503C" w:rsidRDefault="002E01AF" w:rsidP="00D46E68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18503C">
              <w:rPr>
                <w:rFonts w:asciiTheme="majorHAnsi" w:eastAsia="Malgun Gothic" w:hAnsiTheme="majorHAnsi" w:cs="Arial"/>
              </w:rPr>
              <w:t>Keputusan ini berlaku sejak tanggal di tetapkan dengan ketentuan apabila dikemudian hari ternyata terdapat kekeliruan dalam Keputusan ini, akan diadakan perbaikan kembali sebagaimana mestinya;</w:t>
            </w:r>
          </w:p>
          <w:p w:rsidR="002E01AF" w:rsidRPr="0018503C" w:rsidRDefault="002E01AF" w:rsidP="00D46E68">
            <w:p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eastAsia="Malgun Gothic" w:hAnsiTheme="majorHAnsi" w:cs="Arial"/>
                <w:b/>
                <w:u w:val="single"/>
              </w:rPr>
              <w:t>Salinan</w:t>
            </w:r>
            <w:r w:rsidRPr="0018503C">
              <w:rPr>
                <w:rFonts w:asciiTheme="majorHAnsi" w:eastAsia="Malgun Gothic" w:hAnsiTheme="majorHAnsi" w:cs="Arial"/>
              </w:rPr>
              <w:t xml:space="preserve"> Surat Keputusan ini disampaikan kepada yang bersangkutan  untuk diketahui dan dilaksanakan dengan penuh  tanggung jawab.</w:t>
            </w:r>
          </w:p>
        </w:tc>
      </w:tr>
    </w:tbl>
    <w:p w:rsidR="002E01AF" w:rsidRPr="0018503C" w:rsidRDefault="002E01AF" w:rsidP="002E01AF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</w:rPr>
      </w:pPr>
      <w:r w:rsidRPr="0018503C">
        <w:rPr>
          <w:rFonts w:asciiTheme="majorHAnsi" w:eastAsia="Malgun Gothic Semilight" w:hAnsiTheme="majorHAnsi" w:cs="Malgun Gothic Semilight"/>
        </w:rPr>
        <w:tab/>
      </w:r>
      <w:r w:rsidRPr="0018503C">
        <w:rPr>
          <w:rFonts w:asciiTheme="majorHAnsi" w:eastAsia="Malgun Gothic Semilight" w:hAnsiTheme="majorHAnsi" w:cs="Malgun Gothic Semilight"/>
        </w:rPr>
        <w:tab/>
      </w:r>
      <w:r w:rsidRPr="0018503C">
        <w:rPr>
          <w:rFonts w:asciiTheme="majorHAnsi" w:eastAsia="Malgun Gothic Semilight" w:hAnsiTheme="majorHAnsi" w:cs="Malgun Gothic Semilight"/>
        </w:rPr>
        <w:tab/>
      </w:r>
      <w:r w:rsidRPr="0018503C">
        <w:rPr>
          <w:rFonts w:asciiTheme="majorHAnsi" w:eastAsia="Malgun Gothic Semilight" w:hAnsiTheme="majorHAnsi" w:cs="Malgun Gothic Semilight"/>
        </w:rPr>
        <w:tab/>
      </w:r>
    </w:p>
    <w:p w:rsidR="002E01AF" w:rsidRPr="0018503C" w:rsidRDefault="002E01AF" w:rsidP="002E01AF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2E01AF" w:rsidRPr="0018503C" w:rsidTr="00D46E68">
        <w:trPr>
          <w:jc w:val="right"/>
        </w:trPr>
        <w:tc>
          <w:tcPr>
            <w:tcW w:w="1526" w:type="dxa"/>
          </w:tcPr>
          <w:p w:rsidR="002E01AF" w:rsidRPr="0018503C" w:rsidRDefault="002E01AF" w:rsidP="00D46E68">
            <w:pPr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2E01AF" w:rsidRPr="0018503C" w:rsidRDefault="002E01AF" w:rsidP="00D46E68">
            <w:pPr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2E01AF" w:rsidRPr="0018503C" w:rsidRDefault="002E01AF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2E01AF" w:rsidRPr="0018503C" w:rsidTr="00D46E68">
        <w:trPr>
          <w:jc w:val="right"/>
        </w:trPr>
        <w:tc>
          <w:tcPr>
            <w:tcW w:w="1526" w:type="dxa"/>
          </w:tcPr>
          <w:p w:rsidR="002E01AF" w:rsidRPr="0018503C" w:rsidRDefault="002E01AF" w:rsidP="00D46E68">
            <w:pPr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2E01AF" w:rsidRPr="0018503C" w:rsidRDefault="002E01AF" w:rsidP="00D46E68">
            <w:pPr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2E01AF" w:rsidRPr="0018503C" w:rsidRDefault="002E01AF" w:rsidP="00D46E68">
            <w:pPr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2E01AF" w:rsidRPr="0018503C" w:rsidTr="00D46E68">
        <w:trPr>
          <w:jc w:val="right"/>
        </w:trPr>
        <w:tc>
          <w:tcPr>
            <w:tcW w:w="3794" w:type="dxa"/>
            <w:gridSpan w:val="3"/>
          </w:tcPr>
          <w:p w:rsidR="002E01AF" w:rsidRPr="0018503C" w:rsidRDefault="002E01AF" w:rsidP="00D46E68">
            <w:pPr>
              <w:jc w:val="both"/>
              <w:rPr>
                <w:rFonts w:asciiTheme="majorHAnsi" w:hAnsiTheme="majorHAnsi"/>
              </w:rPr>
            </w:pPr>
            <w:r w:rsidRPr="0018503C">
              <w:rPr>
                <w:rFonts w:asciiTheme="majorHAnsi" w:hAnsiTheme="majorHAnsi"/>
              </w:rPr>
              <w:t>Ketua,</w:t>
            </w:r>
          </w:p>
          <w:p w:rsidR="002E01AF" w:rsidRPr="0018503C" w:rsidRDefault="002E01AF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2E01AF" w:rsidRPr="0018503C" w:rsidRDefault="002E01AF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2E01AF" w:rsidRPr="0018503C" w:rsidRDefault="002E01AF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2E01AF" w:rsidRPr="0018503C" w:rsidRDefault="002E01AF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2E01AF" w:rsidRPr="0018503C" w:rsidRDefault="002E01AF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2E01AF" w:rsidRPr="008D5177" w:rsidRDefault="002E01AF" w:rsidP="002E01AF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2E01AF" w:rsidRPr="0018503C" w:rsidRDefault="002E01AF" w:rsidP="002E01A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19730212 199903 1 001</w:t>
            </w:r>
          </w:p>
        </w:tc>
      </w:tr>
    </w:tbl>
    <w:p w:rsidR="002E01AF" w:rsidRPr="0018503C" w:rsidRDefault="002E01AF" w:rsidP="002E01AF">
      <w:pPr>
        <w:tabs>
          <w:tab w:val="left" w:pos="3975"/>
        </w:tabs>
        <w:spacing w:after="0" w:line="240" w:lineRule="auto"/>
        <w:jc w:val="both"/>
        <w:rPr>
          <w:rFonts w:asciiTheme="majorHAnsi" w:eastAsia="Malgun Gothic Semilight" w:hAnsiTheme="majorHAnsi" w:cs="Malgun Gothic Semilight"/>
          <w:sz w:val="16"/>
          <w:szCs w:val="16"/>
        </w:rPr>
      </w:pPr>
      <w:r w:rsidRPr="0018503C">
        <w:rPr>
          <w:rFonts w:asciiTheme="majorHAnsi" w:eastAsia="Malgun Gothic Semilight" w:hAnsiTheme="majorHAnsi" w:cs="Malgun Gothic Semilight"/>
          <w:sz w:val="16"/>
          <w:szCs w:val="16"/>
        </w:rPr>
        <w:t xml:space="preserve">Tembusan : </w:t>
      </w:r>
    </w:p>
    <w:p w:rsidR="002E01AF" w:rsidRPr="0018503C" w:rsidRDefault="002E01AF" w:rsidP="002E01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Malgun Gothic Semilight" w:hAnsiTheme="majorHAnsi" w:cs="Malgun Gothic Semilight"/>
          <w:sz w:val="16"/>
          <w:szCs w:val="16"/>
        </w:rPr>
      </w:pPr>
      <w:r w:rsidRPr="0018503C">
        <w:rPr>
          <w:rFonts w:asciiTheme="majorHAnsi" w:eastAsia="Malgun Gothic Semilight" w:hAnsiTheme="majorHAnsi" w:cs="Malgun Gothic Semilight"/>
          <w:sz w:val="16"/>
          <w:szCs w:val="16"/>
        </w:rPr>
        <w:t>Y.M. Ketua Pengadila</w:t>
      </w:r>
      <w:r>
        <w:rPr>
          <w:rFonts w:asciiTheme="majorHAnsi" w:eastAsia="Malgun Gothic Semilight" w:hAnsiTheme="majorHAnsi" w:cs="Malgun Gothic Semilight"/>
          <w:sz w:val="16"/>
          <w:szCs w:val="16"/>
        </w:rPr>
        <w:t>n Tinggi Agama Makassar</w:t>
      </w:r>
      <w:r w:rsidRPr="0018503C">
        <w:rPr>
          <w:rFonts w:asciiTheme="majorHAnsi" w:eastAsia="Malgun Gothic Semilight" w:hAnsiTheme="majorHAnsi" w:cs="Malgun Gothic Semilight"/>
          <w:sz w:val="16"/>
          <w:szCs w:val="16"/>
        </w:rPr>
        <w:t>;</w:t>
      </w:r>
    </w:p>
    <w:p w:rsidR="002E01AF" w:rsidRPr="0018503C" w:rsidRDefault="002E01AF" w:rsidP="002E01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Malgun Gothic Semilight" w:hAnsiTheme="majorHAnsi" w:cs="Malgun Gothic Semilight"/>
          <w:sz w:val="16"/>
          <w:szCs w:val="16"/>
        </w:rPr>
      </w:pPr>
      <w:r w:rsidRPr="0018503C">
        <w:rPr>
          <w:rFonts w:asciiTheme="majorHAnsi" w:eastAsia="Malgun Gothic Semilight" w:hAnsiTheme="majorHAnsi" w:cs="Malgun Gothic Semilight"/>
          <w:sz w:val="16"/>
          <w:szCs w:val="16"/>
        </w:rPr>
        <w:t xml:space="preserve">Y.M. Ketua Pengadilan Agama </w:t>
      </w:r>
      <w:r>
        <w:rPr>
          <w:rFonts w:asciiTheme="majorHAnsi" w:eastAsia="Malgun Gothic Semilight" w:hAnsiTheme="majorHAnsi" w:cs="Malgun Gothic Semilight"/>
          <w:sz w:val="16"/>
          <w:szCs w:val="16"/>
        </w:rPr>
        <w:t>Selayar</w:t>
      </w:r>
      <w:r w:rsidRPr="0018503C">
        <w:rPr>
          <w:rFonts w:asciiTheme="majorHAnsi" w:eastAsia="Malgun Gothic Semilight" w:hAnsiTheme="majorHAnsi" w:cs="Malgun Gothic Semilight"/>
          <w:sz w:val="16"/>
          <w:szCs w:val="16"/>
        </w:rPr>
        <w:t>;</w:t>
      </w:r>
    </w:p>
    <w:p w:rsidR="002E01AF" w:rsidRPr="0018503C" w:rsidRDefault="002E01AF" w:rsidP="002E01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Malgun Gothic Semilight" w:hAnsiTheme="majorHAnsi" w:cs="Malgun Gothic Semilight"/>
          <w:sz w:val="16"/>
          <w:szCs w:val="16"/>
        </w:rPr>
      </w:pPr>
      <w:r w:rsidRPr="0018503C">
        <w:rPr>
          <w:rFonts w:asciiTheme="majorHAnsi" w:eastAsia="Malgun Gothic Semilight" w:hAnsiTheme="majorHAnsi" w:cs="Malgun Gothic Semilight"/>
          <w:sz w:val="16"/>
          <w:szCs w:val="16"/>
        </w:rPr>
        <w:t>Yang bersangkutan;</w:t>
      </w:r>
    </w:p>
    <w:p w:rsidR="002E01AF" w:rsidRPr="0018503C" w:rsidRDefault="002E01AF" w:rsidP="002E01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lang w:val="en-US"/>
        </w:rPr>
      </w:pPr>
      <w:r w:rsidRPr="0018503C">
        <w:rPr>
          <w:rFonts w:asciiTheme="majorHAnsi" w:eastAsia="Malgun Gothic Semilight" w:hAnsiTheme="majorHAnsi" w:cs="Malgun Gothic Semilight"/>
          <w:sz w:val="16"/>
          <w:szCs w:val="16"/>
        </w:rPr>
        <w:t>Arsip</w:t>
      </w:r>
    </w:p>
    <w:tbl>
      <w:tblPr>
        <w:tblStyle w:val="TableGrid1"/>
        <w:tblW w:w="1003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8613"/>
      </w:tblGrid>
      <w:tr w:rsidR="002E01AF" w:rsidRPr="00F71551" w:rsidTr="002E01AF">
        <w:tc>
          <w:tcPr>
            <w:tcW w:w="1134" w:type="dxa"/>
          </w:tcPr>
          <w:p w:rsidR="002E01AF" w:rsidRPr="0018503C" w:rsidRDefault="002E01AF" w:rsidP="00D46E68">
            <w:pPr>
              <w:spacing w:line="360" w:lineRule="auto"/>
              <w:rPr>
                <w:rFonts w:asciiTheme="majorHAnsi" w:hAnsiTheme="majorHAnsi" w:cs="Tahoma"/>
                <w:sz w:val="16"/>
                <w:szCs w:val="16"/>
                <w:lang w:val="en-US"/>
              </w:rPr>
            </w:pPr>
            <w:r w:rsidRPr="0018503C">
              <w:rPr>
                <w:rFonts w:asciiTheme="majorHAnsi" w:hAnsiTheme="majorHAnsi" w:cs="Tahoma"/>
                <w:sz w:val="16"/>
                <w:szCs w:val="16"/>
              </w:rPr>
              <w:lastRenderedPageBreak/>
              <w:t>Lampiran</w:t>
            </w:r>
            <w:r w:rsidRPr="0018503C">
              <w:rPr>
                <w:rFonts w:asciiTheme="majorHAnsi" w:hAnsiTheme="majorHAnsi" w:cs="Tahoma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2E01AF" w:rsidRPr="00F71551" w:rsidRDefault="002E01AF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F71551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8613" w:type="dxa"/>
          </w:tcPr>
          <w:p w:rsidR="002E01AF" w:rsidRPr="00F71551" w:rsidRDefault="002E01AF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F71551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2E01AF" w:rsidRPr="00F71551" w:rsidTr="002E01AF">
        <w:tc>
          <w:tcPr>
            <w:tcW w:w="1134" w:type="dxa"/>
          </w:tcPr>
          <w:p w:rsidR="002E01AF" w:rsidRPr="00F71551" w:rsidRDefault="002E01AF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F71551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2E01AF" w:rsidRPr="00F71551" w:rsidRDefault="002E01AF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F71551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8613" w:type="dxa"/>
          </w:tcPr>
          <w:p w:rsidR="002E01AF" w:rsidRPr="00F71551" w:rsidRDefault="002E01AF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W20-A17/SK.038</w:t>
            </w:r>
            <w:r w:rsidRPr="00F71551">
              <w:rPr>
                <w:rFonts w:asciiTheme="majorHAnsi" w:hAnsiTheme="majorHAnsi"/>
                <w:sz w:val="16"/>
                <w:szCs w:val="16"/>
              </w:rPr>
              <w:t>/</w:t>
            </w:r>
            <w:r w:rsidRPr="00F71551">
              <w:rPr>
                <w:rFonts w:asciiTheme="majorHAnsi" w:hAnsiTheme="majorHAnsi"/>
                <w:sz w:val="16"/>
                <w:szCs w:val="16"/>
                <w:lang w:val="en-US"/>
              </w:rPr>
              <w:t>PS.00</w:t>
            </w:r>
            <w:r w:rsidRPr="00F71551">
              <w:rPr>
                <w:rFonts w:asciiTheme="majorHAnsi" w:hAnsiTheme="majorHAnsi"/>
                <w:sz w:val="16"/>
                <w:szCs w:val="16"/>
              </w:rPr>
              <w:t>/I/</w:t>
            </w:r>
            <w:r>
              <w:rPr>
                <w:rFonts w:asciiTheme="majorHAnsi" w:hAnsiTheme="majorHAnsi"/>
                <w:sz w:val="16"/>
                <w:szCs w:val="16"/>
              </w:rPr>
              <w:t>2020</w:t>
            </w:r>
          </w:p>
        </w:tc>
      </w:tr>
      <w:tr w:rsidR="002E01AF" w:rsidRPr="00F71551" w:rsidTr="002E01AF">
        <w:tc>
          <w:tcPr>
            <w:tcW w:w="1134" w:type="dxa"/>
          </w:tcPr>
          <w:p w:rsidR="002E01AF" w:rsidRPr="00F71551" w:rsidRDefault="002E01AF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F71551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2E01AF" w:rsidRPr="00F71551" w:rsidRDefault="002E01AF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F71551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8613" w:type="dxa"/>
          </w:tcPr>
          <w:p w:rsidR="002E01AF" w:rsidRPr="00F71551" w:rsidRDefault="002E01AF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F71551">
              <w:rPr>
                <w:rFonts w:asciiTheme="majorHAnsi" w:hAnsiTheme="majorHAnsi"/>
                <w:sz w:val="16"/>
                <w:szCs w:val="16"/>
              </w:rPr>
              <w:t xml:space="preserve">02 Januari </w:t>
            </w:r>
            <w:r>
              <w:rPr>
                <w:rFonts w:asciiTheme="majorHAnsi" w:hAnsiTheme="majorHAnsi"/>
                <w:sz w:val="16"/>
                <w:szCs w:val="16"/>
              </w:rPr>
              <w:t>2020</w:t>
            </w:r>
          </w:p>
        </w:tc>
      </w:tr>
      <w:tr w:rsidR="002E01AF" w:rsidRPr="00F71551" w:rsidTr="002E01AF">
        <w:tc>
          <w:tcPr>
            <w:tcW w:w="1134" w:type="dxa"/>
          </w:tcPr>
          <w:p w:rsidR="002E01AF" w:rsidRPr="00F71551" w:rsidRDefault="002E01AF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F71551">
              <w:rPr>
                <w:rFonts w:asciiTheme="majorHAnsi" w:hAnsiTheme="majorHAnsi"/>
                <w:sz w:val="16"/>
                <w:szCs w:val="16"/>
              </w:rPr>
              <w:t xml:space="preserve">Tentang </w:t>
            </w:r>
          </w:p>
        </w:tc>
        <w:tc>
          <w:tcPr>
            <w:tcW w:w="284" w:type="dxa"/>
          </w:tcPr>
          <w:p w:rsidR="002E01AF" w:rsidRPr="00F71551" w:rsidRDefault="002E01AF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F71551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8613" w:type="dxa"/>
          </w:tcPr>
          <w:p w:rsidR="002E01AF" w:rsidRPr="00F71551" w:rsidRDefault="002E01AF" w:rsidP="00D46E68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</w:pPr>
            <w:proofErr w:type="spellStart"/>
            <w:r w:rsidRPr="00F71551"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>Penunjukan</w:t>
            </w:r>
            <w:proofErr w:type="spellEnd"/>
            <w:r w:rsidRPr="00F71551"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 xml:space="preserve"> Tim </w:t>
            </w:r>
            <w:proofErr w:type="spellStart"/>
            <w:r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>Pengawas</w:t>
            </w:r>
            <w:proofErr w:type="spellEnd"/>
            <w:r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>Honorer</w:t>
            </w:r>
            <w:proofErr w:type="spellEnd"/>
            <w:r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>Supir</w:t>
            </w:r>
            <w:proofErr w:type="spellEnd"/>
            <w:r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>Pramubakti</w:t>
            </w:r>
            <w:proofErr w:type="spellEnd"/>
            <w:r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>dan</w:t>
            </w:r>
            <w:proofErr w:type="spellEnd"/>
            <w:r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>Satpam</w:t>
            </w:r>
            <w:proofErr w:type="spellEnd"/>
            <w:r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>)</w:t>
            </w:r>
            <w:r>
              <w:rPr>
                <w:rFonts w:asciiTheme="majorHAnsi" w:eastAsia="Malgun Gothic Semilight" w:hAnsiTheme="majorHAnsi" w:cs="Malgun Gothic Semilight"/>
                <w:sz w:val="16"/>
                <w:szCs w:val="16"/>
              </w:rPr>
              <w:t xml:space="preserve"> </w:t>
            </w:r>
            <w:r w:rsidRPr="00F71551">
              <w:rPr>
                <w:rFonts w:asciiTheme="majorHAnsi" w:hAnsiTheme="majorHAnsi"/>
                <w:sz w:val="16"/>
                <w:szCs w:val="16"/>
              </w:rPr>
              <w:t xml:space="preserve">Pada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  <w:r w:rsidRPr="00F71551">
              <w:rPr>
                <w:rFonts w:asciiTheme="majorHAnsi" w:hAnsiTheme="majorHAnsi"/>
                <w:sz w:val="16"/>
                <w:szCs w:val="16"/>
              </w:rPr>
              <w:t xml:space="preserve"> Tahun </w:t>
            </w:r>
            <w:r>
              <w:rPr>
                <w:rFonts w:asciiTheme="majorHAnsi" w:hAnsiTheme="majorHAnsi"/>
                <w:sz w:val="16"/>
                <w:szCs w:val="16"/>
              </w:rPr>
              <w:t>2020</w:t>
            </w:r>
          </w:p>
        </w:tc>
      </w:tr>
    </w:tbl>
    <w:p w:rsidR="002E01AF" w:rsidRPr="00ED5C5F" w:rsidRDefault="002E01AF" w:rsidP="002E01AF">
      <w:pPr>
        <w:rPr>
          <w:rFonts w:asciiTheme="majorHAnsi" w:hAnsiTheme="majorHAnsi"/>
        </w:rPr>
      </w:pPr>
    </w:p>
    <w:p w:rsidR="002E01AF" w:rsidRPr="0018503C" w:rsidRDefault="002E01AF" w:rsidP="002E01AF">
      <w:pPr>
        <w:spacing w:after="0" w:line="36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  <w:lang w:val="en-US"/>
        </w:rPr>
        <w:t xml:space="preserve">TIM </w:t>
      </w:r>
      <w:r w:rsidRPr="0018503C">
        <w:rPr>
          <w:rFonts w:asciiTheme="majorHAnsi" w:hAnsiTheme="majorHAnsi" w:cs="Arial"/>
          <w:b/>
          <w:sz w:val="24"/>
          <w:szCs w:val="24"/>
        </w:rPr>
        <w:t>PENGAWAS TENAGA HONORER</w:t>
      </w:r>
    </w:p>
    <w:p w:rsidR="002E01AF" w:rsidRPr="0018503C" w:rsidRDefault="002E01AF" w:rsidP="002E01AF">
      <w:pPr>
        <w:spacing w:after="0" w:line="36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18503C">
        <w:rPr>
          <w:rFonts w:asciiTheme="majorHAnsi" w:hAnsiTheme="majorHAnsi" w:cs="Arial"/>
          <w:b/>
          <w:sz w:val="24"/>
          <w:szCs w:val="24"/>
        </w:rPr>
        <w:t>(</w:t>
      </w:r>
      <w:r>
        <w:rPr>
          <w:rFonts w:asciiTheme="majorHAnsi" w:hAnsiTheme="majorHAnsi" w:cs="Arial"/>
          <w:b/>
          <w:sz w:val="24"/>
          <w:szCs w:val="24"/>
        </w:rPr>
        <w:t>SUPIR</w:t>
      </w:r>
      <w:r>
        <w:rPr>
          <w:rFonts w:asciiTheme="majorHAnsi" w:hAnsiTheme="majorHAnsi" w:cs="Arial"/>
          <w:b/>
          <w:sz w:val="24"/>
          <w:szCs w:val="24"/>
        </w:rPr>
        <w:t>, PRAMUBAKTI</w:t>
      </w:r>
      <w:r>
        <w:rPr>
          <w:rFonts w:asciiTheme="majorHAnsi" w:hAnsiTheme="majorHAnsi" w:cs="Arial"/>
          <w:b/>
          <w:sz w:val="24"/>
          <w:szCs w:val="24"/>
          <w:lang w:val="en-US"/>
        </w:rPr>
        <w:t xml:space="preserve"> DAN </w:t>
      </w:r>
      <w:r w:rsidRPr="0018503C">
        <w:rPr>
          <w:rFonts w:asciiTheme="majorHAnsi" w:hAnsiTheme="majorHAnsi" w:cs="Arial"/>
          <w:b/>
          <w:sz w:val="24"/>
          <w:szCs w:val="24"/>
        </w:rPr>
        <w:t>SATPAM)</w:t>
      </w:r>
    </w:p>
    <w:p w:rsidR="002E01AF" w:rsidRPr="0018503C" w:rsidRDefault="002E01AF" w:rsidP="002E01A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18503C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SELAYAR</w:t>
      </w:r>
    </w:p>
    <w:p w:rsidR="002E01AF" w:rsidRDefault="002E01AF" w:rsidP="002E01A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</w:pPr>
      <w:r w:rsidRPr="0018503C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TAHUN </w:t>
      </w:r>
      <w:r>
        <w:rPr>
          <w:rFonts w:asciiTheme="majorHAnsi" w:eastAsia="Malgun Gothic Semilight" w:hAnsiTheme="majorHAnsi" w:cs="Malgun Gothic Semilight"/>
          <w:b/>
          <w:sz w:val="24"/>
          <w:szCs w:val="24"/>
        </w:rPr>
        <w:t>2020</w:t>
      </w:r>
    </w:p>
    <w:p w:rsidR="002E01AF" w:rsidRPr="00412C69" w:rsidRDefault="002E01AF" w:rsidP="002E01A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</w:pPr>
    </w:p>
    <w:tbl>
      <w:tblPr>
        <w:tblW w:w="8636" w:type="dxa"/>
        <w:jc w:val="center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3183"/>
        <w:gridCol w:w="3544"/>
        <w:gridCol w:w="1418"/>
      </w:tblGrid>
      <w:tr w:rsidR="002E01AF" w:rsidRPr="00ED5C5F" w:rsidTr="00D46E68">
        <w:trPr>
          <w:trHeight w:val="320"/>
          <w:jc w:val="center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E01AF" w:rsidRPr="00ED5C5F" w:rsidRDefault="002E01AF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ED5C5F">
              <w:rPr>
                <w:rFonts w:asciiTheme="majorHAnsi" w:hAnsiTheme="majorHAnsi" w:cs="Arial"/>
                <w:b/>
                <w:bCs/>
                <w:lang w:val="nb-NO"/>
              </w:rPr>
              <w:t>No</w:t>
            </w:r>
          </w:p>
        </w:tc>
        <w:tc>
          <w:tcPr>
            <w:tcW w:w="3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E01AF" w:rsidRPr="00ED5C5F" w:rsidRDefault="002E01AF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ED5C5F">
              <w:rPr>
                <w:rFonts w:asciiTheme="majorHAnsi" w:hAnsiTheme="majorHAnsi" w:cs="Arial"/>
                <w:b/>
                <w:bCs/>
                <w:lang w:val="nb-NO"/>
              </w:rPr>
              <w:t xml:space="preserve">Nama 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E01AF" w:rsidRPr="00ED5C5F" w:rsidRDefault="002E01AF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ED5C5F">
              <w:rPr>
                <w:rFonts w:asciiTheme="majorHAnsi" w:hAnsiTheme="majorHAnsi" w:cs="Arial"/>
                <w:b/>
                <w:bCs/>
                <w:lang w:val="nb-NO"/>
              </w:rPr>
              <w:t>Jabatan</w:t>
            </w:r>
          </w:p>
        </w:tc>
      </w:tr>
      <w:tr w:rsidR="002E01AF" w:rsidRPr="00ED5C5F" w:rsidTr="00D46E68">
        <w:trPr>
          <w:trHeight w:val="200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E01AF" w:rsidRPr="00ED5C5F" w:rsidRDefault="002E01AF" w:rsidP="00D46E68">
            <w:pPr>
              <w:spacing w:after="0"/>
              <w:rPr>
                <w:rFonts w:asciiTheme="majorHAnsi" w:hAnsiTheme="majorHAnsi" w:cs="Arial"/>
                <w:b/>
                <w:bCs/>
                <w:lang w:val="nb-NO"/>
              </w:rPr>
            </w:pPr>
          </w:p>
        </w:tc>
        <w:tc>
          <w:tcPr>
            <w:tcW w:w="3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E01AF" w:rsidRPr="00ED5C5F" w:rsidRDefault="002E01AF" w:rsidP="00D46E68">
            <w:pPr>
              <w:spacing w:after="0"/>
              <w:rPr>
                <w:rFonts w:asciiTheme="majorHAnsi" w:hAnsiTheme="majorHAnsi" w:cs="Arial"/>
                <w:b/>
                <w:bCs/>
                <w:lang w:val="nb-N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E01AF" w:rsidRPr="00ED5C5F" w:rsidRDefault="002E01AF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ED5C5F">
              <w:rPr>
                <w:rFonts w:asciiTheme="majorHAnsi" w:hAnsiTheme="majorHAnsi" w:cs="Arial"/>
                <w:b/>
                <w:bCs/>
                <w:lang w:val="nb-NO"/>
              </w:rPr>
              <w:t>Dinas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E01AF" w:rsidRPr="00ED5C5F" w:rsidRDefault="002E01AF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ED5C5F">
              <w:rPr>
                <w:rFonts w:asciiTheme="majorHAnsi" w:hAnsiTheme="majorHAnsi" w:cs="Arial"/>
                <w:b/>
                <w:bCs/>
                <w:lang w:val="nb-NO"/>
              </w:rPr>
              <w:t>Tim</w:t>
            </w:r>
          </w:p>
        </w:tc>
      </w:tr>
      <w:tr w:rsidR="002E01AF" w:rsidRPr="00ED5C5F" w:rsidTr="00D46E68">
        <w:trPr>
          <w:trHeight w:val="297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E01AF" w:rsidRPr="00F71551" w:rsidRDefault="002E01AF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</w:pPr>
            <w:r w:rsidRPr="00F71551"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  <w:t>1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E01AF" w:rsidRPr="00F71551" w:rsidRDefault="002E01AF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</w:pPr>
            <w:r w:rsidRPr="00F71551"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E01AF" w:rsidRPr="00F71551" w:rsidRDefault="002E01AF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</w:pPr>
            <w:r w:rsidRPr="00F71551"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E01AF" w:rsidRPr="00F71551" w:rsidRDefault="002E01AF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</w:pPr>
            <w:r w:rsidRPr="00F71551"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  <w:t>4</w:t>
            </w:r>
          </w:p>
        </w:tc>
      </w:tr>
      <w:tr w:rsidR="002E01AF" w:rsidRPr="00ED5C5F" w:rsidTr="00D46E68">
        <w:trPr>
          <w:trHeight w:val="277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1AF" w:rsidRPr="00ED5C5F" w:rsidRDefault="002E01AF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 w:rsidRPr="00ED5C5F">
              <w:rPr>
                <w:rFonts w:asciiTheme="majorHAnsi" w:hAnsiTheme="majorHAnsi" w:cs="Arial"/>
                <w:lang w:val="nb-NO"/>
              </w:rPr>
              <w:t>1.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1AF" w:rsidRPr="002E01AF" w:rsidRDefault="002E01AF" w:rsidP="002E01AF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Mustamin, Lc.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1AF" w:rsidRPr="00ED5C5F" w:rsidRDefault="002E01AF" w:rsidP="00D46E68">
            <w:pPr>
              <w:spacing w:after="0" w:line="240" w:lineRule="auto"/>
              <w:rPr>
                <w:rFonts w:asciiTheme="majorHAnsi" w:hAnsiTheme="majorHAnsi" w:cs="Arial"/>
                <w:lang w:val="nb-NO"/>
              </w:rPr>
            </w:pPr>
            <w:r w:rsidRPr="00ED5C5F">
              <w:rPr>
                <w:rFonts w:asciiTheme="majorHAnsi" w:hAnsiTheme="majorHAnsi" w:cs="Arial"/>
                <w:lang w:val="nb-NO"/>
              </w:rPr>
              <w:t>Ketua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1AF" w:rsidRPr="00ED5C5F" w:rsidRDefault="002E01AF" w:rsidP="00D46E68">
            <w:pPr>
              <w:spacing w:after="0" w:line="240" w:lineRule="auto"/>
              <w:rPr>
                <w:rFonts w:asciiTheme="majorHAnsi" w:hAnsiTheme="majorHAnsi" w:cs="Arial"/>
                <w:lang w:val="en-US"/>
              </w:rPr>
            </w:pPr>
            <w:r w:rsidRPr="00ED5C5F">
              <w:rPr>
                <w:rFonts w:asciiTheme="majorHAnsi" w:hAnsiTheme="majorHAnsi" w:cs="Arial"/>
                <w:lang w:val="en-US"/>
              </w:rPr>
              <w:t>Pembina</w:t>
            </w:r>
          </w:p>
        </w:tc>
      </w:tr>
      <w:tr w:rsidR="002E01AF" w:rsidRPr="00ED5C5F" w:rsidTr="00D46E68">
        <w:trPr>
          <w:trHeight w:val="277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1AF" w:rsidRPr="00ED5C5F" w:rsidRDefault="002E01AF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 w:rsidRPr="00ED5C5F">
              <w:rPr>
                <w:rFonts w:asciiTheme="majorHAnsi" w:hAnsiTheme="majorHAnsi" w:cs="Arial"/>
                <w:lang w:val="nb-NO"/>
              </w:rPr>
              <w:t>2.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1AF" w:rsidRPr="002E01AF" w:rsidRDefault="002E01AF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Hj. Asni Amin, S.H.I.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1AF" w:rsidRPr="00ED5C5F" w:rsidRDefault="002E01AF" w:rsidP="00D46E68">
            <w:pPr>
              <w:spacing w:after="0" w:line="240" w:lineRule="auto"/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  <w:lang w:val="nb-NO"/>
              </w:rPr>
              <w:t>Sekretaris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1AF" w:rsidRPr="00ED5C5F" w:rsidRDefault="002E01AF" w:rsidP="00D46E68">
            <w:pPr>
              <w:spacing w:after="0" w:line="240" w:lineRule="auto"/>
              <w:rPr>
                <w:rFonts w:asciiTheme="majorHAnsi" w:hAnsiTheme="majorHAnsi" w:cs="Arial"/>
                <w:lang w:val="en-US"/>
              </w:rPr>
            </w:pPr>
            <w:proofErr w:type="spellStart"/>
            <w:r w:rsidRPr="00ED5C5F">
              <w:rPr>
                <w:rFonts w:asciiTheme="majorHAnsi" w:hAnsiTheme="majorHAnsi" w:cs="Arial"/>
                <w:lang w:val="en-US"/>
              </w:rPr>
              <w:t>Pengawas</w:t>
            </w:r>
            <w:proofErr w:type="spellEnd"/>
          </w:p>
        </w:tc>
      </w:tr>
      <w:tr w:rsidR="002E01AF" w:rsidRPr="00ED5C5F" w:rsidTr="00D46E68">
        <w:trPr>
          <w:trHeight w:val="277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1AF" w:rsidRPr="00ED5C5F" w:rsidRDefault="002E01AF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 w:rsidRPr="00ED5C5F">
              <w:rPr>
                <w:rFonts w:asciiTheme="majorHAnsi" w:hAnsiTheme="majorHAnsi" w:cs="Arial"/>
                <w:lang w:val="nb-NO"/>
              </w:rPr>
              <w:t>3.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1AF" w:rsidRPr="002E01AF" w:rsidRDefault="002E01AF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Andi Bobby, S.Kom.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1AF" w:rsidRPr="00ED5C5F" w:rsidRDefault="002E01AF" w:rsidP="00D46E68">
            <w:pPr>
              <w:spacing w:after="0" w:line="240" w:lineRule="auto"/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  <w:lang w:val="nb-NO"/>
              </w:rPr>
              <w:t>Kasubbag Umum &amp; Keuangan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1AF" w:rsidRPr="00ED5C5F" w:rsidRDefault="002E01AF" w:rsidP="00D46E68">
            <w:pPr>
              <w:spacing w:after="0" w:line="240" w:lineRule="auto"/>
              <w:rPr>
                <w:rFonts w:asciiTheme="majorHAnsi" w:hAnsiTheme="majorHAnsi" w:cs="Arial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lang w:val="en-US"/>
              </w:rPr>
              <w:t>Sekretaris</w:t>
            </w:r>
            <w:proofErr w:type="spellEnd"/>
          </w:p>
        </w:tc>
      </w:tr>
      <w:tr w:rsidR="002E01AF" w:rsidRPr="00ED5C5F" w:rsidTr="00D46E68">
        <w:trPr>
          <w:trHeight w:val="277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1AF" w:rsidRPr="00ED5C5F" w:rsidRDefault="002E01AF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  <w:lang w:val="nb-NO"/>
              </w:rPr>
              <w:t>4.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1AF" w:rsidRPr="00ED5C5F" w:rsidRDefault="002E01AF" w:rsidP="00D46E68">
            <w:pPr>
              <w:spacing w:after="0" w:line="240" w:lineRule="auto"/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</w:rPr>
              <w:t>Muhammad Rizaldy</w:t>
            </w:r>
            <w:bookmarkStart w:id="0" w:name="_GoBack"/>
            <w:bookmarkEnd w:id="0"/>
            <w:r>
              <w:rPr>
                <w:rFonts w:asciiTheme="majorHAnsi" w:hAnsiTheme="majorHAnsi" w:cs="Arial"/>
                <w:lang w:val="nb-NO"/>
              </w:rPr>
              <w:t>, S.H.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1AF" w:rsidRPr="004A76D8" w:rsidRDefault="002E01AF" w:rsidP="00D46E68">
            <w:pPr>
              <w:spacing w:after="0" w:line="240" w:lineRule="auto"/>
              <w:rPr>
                <w:rFonts w:asciiTheme="majorHAnsi" w:hAnsiTheme="majorHAnsi" w:cs="Arial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lang w:val="en-US"/>
              </w:rPr>
              <w:t>Kasubbag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Kepegawaian</w:t>
            </w:r>
            <w:proofErr w:type="spellEnd"/>
            <w:r>
              <w:rPr>
                <w:rFonts w:asciiTheme="majorHAnsi" w:hAnsiTheme="majorHAnsi" w:cs="Arial"/>
                <w:lang w:val="en-US"/>
              </w:rPr>
              <w:t xml:space="preserve"> &amp; </w:t>
            </w:r>
            <w:proofErr w:type="spellStart"/>
            <w:r>
              <w:rPr>
                <w:rFonts w:asciiTheme="majorHAnsi" w:hAnsiTheme="majorHAnsi" w:cs="Arial"/>
                <w:lang w:val="en-US"/>
              </w:rPr>
              <w:t>Ortala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1AF" w:rsidRPr="00ED5C5F" w:rsidRDefault="002E01AF" w:rsidP="00D46E68">
            <w:pPr>
              <w:pStyle w:val="ListParagraph"/>
              <w:spacing w:after="0"/>
              <w:ind w:left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Anggota</w:t>
            </w:r>
            <w:proofErr w:type="spellEnd"/>
          </w:p>
        </w:tc>
      </w:tr>
    </w:tbl>
    <w:p w:rsidR="002E01AF" w:rsidRDefault="002E01AF" w:rsidP="002E01AF">
      <w:pPr>
        <w:jc w:val="both"/>
        <w:rPr>
          <w:rFonts w:asciiTheme="majorHAnsi" w:hAnsiTheme="majorHAnsi" w:cs="Times New Roman"/>
          <w:lang w:val="en-US"/>
        </w:rPr>
      </w:pPr>
    </w:p>
    <w:p w:rsidR="002E01AF" w:rsidRDefault="002E01AF" w:rsidP="002E01AF">
      <w:pPr>
        <w:jc w:val="both"/>
        <w:rPr>
          <w:rFonts w:asciiTheme="majorHAnsi" w:hAnsiTheme="majorHAnsi" w:cs="Times New Roman"/>
          <w:lang w:val="en-US"/>
        </w:rPr>
      </w:pPr>
    </w:p>
    <w:p w:rsidR="002E01AF" w:rsidRDefault="002E01AF" w:rsidP="002E01AF">
      <w:pPr>
        <w:jc w:val="both"/>
        <w:rPr>
          <w:rFonts w:asciiTheme="majorHAnsi" w:hAnsiTheme="majorHAnsi" w:cs="Times New Roman"/>
          <w:lang w:val="en-US"/>
        </w:rPr>
      </w:pPr>
    </w:p>
    <w:p w:rsidR="002E01AF" w:rsidRPr="00ED5C5F" w:rsidRDefault="002E01AF" w:rsidP="002E01AF">
      <w:pPr>
        <w:spacing w:after="0" w:line="240" w:lineRule="auto"/>
        <w:ind w:left="5040" w:firstLine="720"/>
        <w:jc w:val="both"/>
        <w:rPr>
          <w:rFonts w:asciiTheme="majorHAnsi" w:hAnsiTheme="majorHAnsi"/>
        </w:rPr>
      </w:pPr>
      <w:r w:rsidRPr="00ED5C5F">
        <w:rPr>
          <w:rFonts w:asciiTheme="majorHAnsi" w:hAnsiTheme="majorHAnsi"/>
        </w:rPr>
        <w:t>Ketua,</w:t>
      </w:r>
    </w:p>
    <w:p w:rsidR="002E01AF" w:rsidRPr="00ED5C5F" w:rsidRDefault="002E01AF" w:rsidP="002E01AF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2E01AF" w:rsidRPr="00ED5C5F" w:rsidRDefault="002E01AF" w:rsidP="002E01AF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2E01AF" w:rsidRPr="00ED5C5F" w:rsidRDefault="002E01AF" w:rsidP="002E01AF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2E01AF" w:rsidRPr="00ED5C5F" w:rsidRDefault="002E01AF" w:rsidP="002E01AF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2E01AF" w:rsidRPr="008D5177" w:rsidRDefault="002E01AF" w:rsidP="002E01AF">
      <w:pPr>
        <w:spacing w:after="0" w:line="240" w:lineRule="auto"/>
        <w:ind w:left="5040" w:firstLine="72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Abdul Rahman Salam, S.Ag.,M.H.</w:t>
      </w:r>
    </w:p>
    <w:p w:rsidR="002E01AF" w:rsidRPr="0018503C" w:rsidRDefault="002E01AF" w:rsidP="002E01AF">
      <w:pPr>
        <w:spacing w:after="0" w:line="240" w:lineRule="auto"/>
        <w:ind w:left="5040" w:firstLine="72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NIP. 19730212 199903 1 001</w:t>
      </w:r>
    </w:p>
    <w:p w:rsidR="00BE0B77" w:rsidRDefault="00BE0B77"/>
    <w:sectPr w:rsidR="00BE0B77" w:rsidSect="00005AC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6C9B"/>
    <w:multiLevelType w:val="hybridMultilevel"/>
    <w:tmpl w:val="A858DBBA"/>
    <w:lvl w:ilvl="0" w:tplc="26E6B446">
      <w:start w:val="1"/>
      <w:numFmt w:val="lowerLetter"/>
      <w:lvlText w:val="%1."/>
      <w:lvlJc w:val="left"/>
      <w:pPr>
        <w:ind w:left="360" w:hanging="360"/>
      </w:pPr>
      <w:rPr>
        <w:rFonts w:asciiTheme="majorHAnsi" w:eastAsiaTheme="minorHAnsi" w:hAnsiTheme="maj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700929"/>
    <w:multiLevelType w:val="hybridMultilevel"/>
    <w:tmpl w:val="BA78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815BF"/>
    <w:multiLevelType w:val="hybridMultilevel"/>
    <w:tmpl w:val="ED244132"/>
    <w:lvl w:ilvl="0" w:tplc="AA38AAD6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HAnsi" w:hAnsiTheme="maj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9C1484"/>
    <w:multiLevelType w:val="hybridMultilevel"/>
    <w:tmpl w:val="7EEA79AC"/>
    <w:lvl w:ilvl="0" w:tplc="421EDE94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AF"/>
    <w:rsid w:val="0001209C"/>
    <w:rsid w:val="0006426B"/>
    <w:rsid w:val="001700E9"/>
    <w:rsid w:val="00197D2C"/>
    <w:rsid w:val="002645D3"/>
    <w:rsid w:val="002743D5"/>
    <w:rsid w:val="002960FF"/>
    <w:rsid w:val="002E01AF"/>
    <w:rsid w:val="003477F6"/>
    <w:rsid w:val="003F40C8"/>
    <w:rsid w:val="003F6C73"/>
    <w:rsid w:val="004316B1"/>
    <w:rsid w:val="004C1FB5"/>
    <w:rsid w:val="004F510F"/>
    <w:rsid w:val="005240D7"/>
    <w:rsid w:val="005434ED"/>
    <w:rsid w:val="00576589"/>
    <w:rsid w:val="0060033B"/>
    <w:rsid w:val="0064473A"/>
    <w:rsid w:val="00684A63"/>
    <w:rsid w:val="006F1178"/>
    <w:rsid w:val="00760D96"/>
    <w:rsid w:val="00767D9C"/>
    <w:rsid w:val="00820771"/>
    <w:rsid w:val="00832653"/>
    <w:rsid w:val="00862E69"/>
    <w:rsid w:val="008637E4"/>
    <w:rsid w:val="008E5BA3"/>
    <w:rsid w:val="00A2251F"/>
    <w:rsid w:val="00AD1437"/>
    <w:rsid w:val="00AE6E88"/>
    <w:rsid w:val="00AF2A75"/>
    <w:rsid w:val="00B61EC3"/>
    <w:rsid w:val="00B65FF5"/>
    <w:rsid w:val="00BE0B77"/>
    <w:rsid w:val="00C13CF5"/>
    <w:rsid w:val="00C62B61"/>
    <w:rsid w:val="00D4554E"/>
    <w:rsid w:val="00DB67E8"/>
    <w:rsid w:val="00EA6987"/>
    <w:rsid w:val="00EC3F9F"/>
    <w:rsid w:val="00F554D1"/>
    <w:rsid w:val="00F5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AF"/>
    <w:pPr>
      <w:ind w:left="720"/>
      <w:contextualSpacing/>
    </w:pPr>
  </w:style>
  <w:style w:type="table" w:styleId="TableGrid">
    <w:name w:val="Table Grid"/>
    <w:basedOn w:val="TableNormal"/>
    <w:uiPriority w:val="59"/>
    <w:rsid w:val="002E01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2E01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AF"/>
    <w:pPr>
      <w:ind w:left="720"/>
      <w:contextualSpacing/>
    </w:pPr>
  </w:style>
  <w:style w:type="table" w:styleId="TableGrid">
    <w:name w:val="Table Grid"/>
    <w:basedOn w:val="TableNormal"/>
    <w:uiPriority w:val="59"/>
    <w:rsid w:val="002E01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2E01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2020-01-28T02:46:00Z</dcterms:created>
  <dcterms:modified xsi:type="dcterms:W3CDTF">2020-01-28T02:51:00Z</dcterms:modified>
</cp:coreProperties>
</file>