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66" w:rsidRPr="00E9564A" w:rsidRDefault="009A2266" w:rsidP="009A2266">
      <w:pPr>
        <w:spacing w:line="360" w:lineRule="auto"/>
        <w:jc w:val="center"/>
        <w:rPr>
          <w:rFonts w:asciiTheme="majorHAnsi" w:eastAsia="Malgun Gothic" w:hAnsiTheme="majorHAnsi" w:cs="Malgun Gothic Semilight"/>
        </w:rPr>
      </w:pPr>
      <w:r w:rsidRPr="00E9564A">
        <w:rPr>
          <w:rFonts w:asciiTheme="majorHAnsi" w:eastAsia="Malgun Gothic" w:hAnsiTheme="majorHAnsi" w:cs="Malgun Gothic Semilight"/>
          <w:noProof/>
        </w:rPr>
        <w:drawing>
          <wp:inline distT="0" distB="0" distL="0" distR="0" wp14:anchorId="38A9346D" wp14:editId="4E4D0773">
            <wp:extent cx="857250" cy="10450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114" cy="104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SURAT KEPUTUSAN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KETUA PENGADILAN AGAMA SELAYAR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NOMOR  :  W20-A17/</w:t>
      </w:r>
      <w:r w:rsidR="002F05FE">
        <w:rPr>
          <w:rFonts w:asciiTheme="majorHAnsi" w:eastAsia="Malgun Gothic" w:hAnsiTheme="majorHAnsi" w:cs="Malgun Gothic Semilight"/>
          <w:b/>
          <w:sz w:val="24"/>
        </w:rPr>
        <w:t>SK.043</w:t>
      </w:r>
      <w:r w:rsidRPr="008A6A8E">
        <w:rPr>
          <w:rFonts w:asciiTheme="majorHAnsi" w:eastAsia="Malgun Gothic" w:hAnsiTheme="majorHAnsi" w:cs="Malgun Gothic Semilight"/>
          <w:b/>
          <w:sz w:val="24"/>
        </w:rPr>
        <w:t>/</w:t>
      </w:r>
      <w:r w:rsidR="002F05FE">
        <w:rPr>
          <w:rFonts w:asciiTheme="majorHAnsi" w:eastAsia="Malgun Gothic" w:hAnsiTheme="majorHAnsi" w:cs="Malgun Gothic Semilight"/>
          <w:b/>
          <w:sz w:val="24"/>
          <w:lang w:val="en-US"/>
        </w:rPr>
        <w:t>KP.00</w:t>
      </w:r>
      <w:r w:rsidRPr="008A6A8E">
        <w:rPr>
          <w:rFonts w:asciiTheme="majorHAnsi" w:eastAsia="Malgun Gothic" w:hAnsiTheme="majorHAnsi" w:cs="Malgun Gothic Semilight"/>
          <w:b/>
          <w:sz w:val="24"/>
        </w:rPr>
        <w:t>/I/2020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TENTANG</w:t>
      </w:r>
    </w:p>
    <w:p w:rsidR="009A2266" w:rsidRPr="008A6A8E" w:rsidRDefault="002F05FE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lang w:val="en-US"/>
        </w:rPr>
      </w:pPr>
      <w:r>
        <w:rPr>
          <w:rFonts w:asciiTheme="majorHAnsi" w:eastAsia="Malgun Gothic" w:hAnsiTheme="majorHAnsi" w:cs="Malgun Gothic Semilight"/>
          <w:b/>
          <w:sz w:val="24"/>
        </w:rPr>
        <w:t xml:space="preserve">PERATURAN INTERNAL </w:t>
      </w:r>
      <w:r w:rsidR="009A2266" w:rsidRPr="008A6A8E">
        <w:rPr>
          <w:rFonts w:asciiTheme="majorHAnsi" w:eastAsia="Malgun Gothic" w:hAnsiTheme="majorHAnsi" w:cs="Malgun Gothic Semilight"/>
          <w:b/>
          <w:sz w:val="24"/>
        </w:rPr>
        <w:t>PADA PENGADILAN AGAMA SELAYAR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  <w:lang w:val="en-US"/>
        </w:rPr>
        <w:t>TAHUN 20</w:t>
      </w:r>
      <w:r w:rsidRPr="008A6A8E">
        <w:rPr>
          <w:rFonts w:asciiTheme="majorHAnsi" w:eastAsia="Malgun Gothic" w:hAnsiTheme="majorHAnsi" w:cs="Malgun Gothic Semilight"/>
          <w:b/>
          <w:sz w:val="24"/>
        </w:rPr>
        <w:t>20</w:t>
      </w:r>
    </w:p>
    <w:p w:rsidR="008A6A8E" w:rsidRPr="008A6A8E" w:rsidRDefault="008A6A8E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</w:p>
    <w:p w:rsidR="009A2266" w:rsidRPr="008A6A8E" w:rsidRDefault="009A2266" w:rsidP="008A6A8E">
      <w:pPr>
        <w:spacing w:after="0" w:line="360" w:lineRule="auto"/>
        <w:jc w:val="center"/>
        <w:rPr>
          <w:rFonts w:asciiTheme="majorHAnsi" w:eastAsia="Malgun Gothic" w:hAnsiTheme="majorHAnsi" w:cs="Malgun Gothic Semilight"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KETUA PENGADILAN AGAMA 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3"/>
        <w:gridCol w:w="7576"/>
      </w:tblGrid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Menimbang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2F05FE" w:rsidRPr="002F05FE" w:rsidRDefault="002F05FE" w:rsidP="002F05F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Bahwa dalam rangka melaksanakan tugas pokok dan fungsi pegawai dilingkungan Pengadilan Agama Selayar yang berintegritas dan menjunjung tinggi prinsip-prinsip pelaksanaan tugas pemerintahan yang baik (good governance);</w:t>
            </w:r>
          </w:p>
          <w:p w:rsidR="002F05FE" w:rsidRPr="002F05FE" w:rsidRDefault="002F05FE" w:rsidP="002F05F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Bahwa untuk mendukung sebagaimana yang tersebut pada huruf a diatas maka diperlukan Peraturan Internal sebagai Aturan Perilaku Pegawai Pengadilan Agama Selayar;</w:t>
            </w:r>
          </w:p>
          <w:p w:rsidR="009A2266" w:rsidRPr="00E9564A" w:rsidRDefault="002F05FE" w:rsidP="002F05F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Bahwa berdasarkan pertimbangan sebagaimana yang dimaksud pada huruf a dan b, perlu menetapkan Surat Keputusan tentang Peraturan Internal pada Pengadilan Agama Selayar</w:t>
            </w:r>
            <w:r w:rsidR="009A2266"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; </w:t>
            </w:r>
          </w:p>
        </w:tc>
      </w:tr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Mengingat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Pr="00E9564A" w:rsidRDefault="009A2266" w:rsidP="008A6A8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Undang-Undang Nomor 50 tahun 2009 tentang Peradilan Agama;</w:t>
            </w:r>
          </w:p>
          <w:p w:rsidR="002F05FE" w:rsidRPr="002F05FE" w:rsidRDefault="002F05FE" w:rsidP="002F05F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  <w:lang w:val="en-US"/>
              </w:rPr>
            </w:pP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Peraturan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Pemerintah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Nomor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42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Tahun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2004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tentang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Pembinaan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Jiwa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Korps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dan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Kode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Etik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Pegawai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Negeri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Sipil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Pasal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13;</w:t>
            </w:r>
          </w:p>
          <w:p w:rsidR="009A2266" w:rsidRPr="00E9564A" w:rsidRDefault="002F05FE" w:rsidP="002F05F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Keputusan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Sekretaris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Mahkamah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Agung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RI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Nomor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008-A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Tahun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2012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tentang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Aturan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Perilaku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Pegawai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Mahkamah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Agung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Republik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Indonesia</w:t>
            </w:r>
            <w:r w:rsidR="009A2266" w:rsidRPr="00E9564A">
              <w:rPr>
                <w:rFonts w:asciiTheme="majorHAnsi" w:eastAsia="Malgun Gothic" w:hAnsiTheme="majorHAnsi" w:cs="Malgun Gothic Semilight"/>
                <w:lang w:val="en-US"/>
              </w:rPr>
              <w:t>.</w:t>
            </w:r>
          </w:p>
        </w:tc>
      </w:tr>
      <w:tr w:rsidR="009A2266" w:rsidRPr="00E9564A" w:rsidTr="00EE28AA">
        <w:tc>
          <w:tcPr>
            <w:tcW w:w="9242" w:type="dxa"/>
            <w:gridSpan w:val="3"/>
          </w:tcPr>
          <w:p w:rsidR="009A2266" w:rsidRPr="00E9564A" w:rsidRDefault="009A2266" w:rsidP="008A6A8E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  <w:r w:rsidRPr="00E9564A">
              <w:rPr>
                <w:rFonts w:asciiTheme="majorHAnsi" w:eastAsia="Malgun Gothic" w:hAnsiTheme="majorHAnsi" w:cs="Malgun Gothic Semilight"/>
                <w:b/>
              </w:rPr>
              <w:t>MEMUTUSKAN</w:t>
            </w:r>
          </w:p>
        </w:tc>
      </w:tr>
      <w:tr w:rsidR="009A2266" w:rsidRPr="00E9564A" w:rsidTr="002F05FE">
        <w:tc>
          <w:tcPr>
            <w:tcW w:w="1383" w:type="dxa"/>
          </w:tcPr>
          <w:p w:rsidR="009A2266" w:rsidRPr="00E9564A" w:rsidRDefault="009A2266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Menetapkan</w:t>
            </w:r>
          </w:p>
        </w:tc>
        <w:tc>
          <w:tcPr>
            <w:tcW w:w="283" w:type="dxa"/>
          </w:tcPr>
          <w:p w:rsidR="009A2266" w:rsidRPr="00E9564A" w:rsidRDefault="009A2266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Default="002F05FE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  <w:b/>
              </w:rPr>
            </w:pPr>
            <w:r w:rsidRPr="002F05FE">
              <w:rPr>
                <w:rFonts w:asciiTheme="majorHAnsi" w:eastAsia="Malgun Gothic" w:hAnsiTheme="majorHAnsi" w:cs="Malgun Gothic Semilight"/>
                <w:b/>
                <w:lang w:val="en-US"/>
              </w:rPr>
              <w:t>SURAT KEPUTUSAN KETUA PENGADILAN AGAMA SELAYAR TENTANG PERATURAN INTERNAL PADA PENGADILAN AGAMA SELAYAR</w:t>
            </w:r>
            <w:r>
              <w:rPr>
                <w:rFonts w:asciiTheme="majorHAnsi" w:eastAsia="Malgun Gothic" w:hAnsiTheme="majorHAnsi" w:cs="Malgun Gothic Semilight"/>
                <w:b/>
              </w:rPr>
              <w:t xml:space="preserve"> TAHUN 2020</w:t>
            </w:r>
            <w:r w:rsidRPr="002F05FE">
              <w:rPr>
                <w:rFonts w:asciiTheme="majorHAnsi" w:eastAsia="Malgun Gothic" w:hAnsiTheme="majorHAnsi" w:cs="Malgun Gothic Semilight"/>
                <w:b/>
                <w:lang w:val="en-US"/>
              </w:rPr>
              <w:t>;</w:t>
            </w:r>
          </w:p>
          <w:p w:rsidR="002F05FE" w:rsidRDefault="002F05FE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  <w:b/>
              </w:rPr>
            </w:pPr>
          </w:p>
          <w:p w:rsidR="002F05FE" w:rsidRPr="002F05FE" w:rsidRDefault="002F05FE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</w:p>
        </w:tc>
      </w:tr>
      <w:tr w:rsidR="009A2266" w:rsidRPr="00E9564A" w:rsidTr="002F05FE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lastRenderedPageBreak/>
              <w:t>Kesatu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Pr="009A2266" w:rsidRDefault="002F05FE" w:rsidP="008A6A8E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Peraturan Internal pada Pengadilan Agama Selayar sebagaimana tersebut dalam lampiran Surat Keputusan ini;</w:t>
            </w:r>
          </w:p>
        </w:tc>
      </w:tr>
      <w:tr w:rsidR="002F05FE" w:rsidRPr="00E9564A" w:rsidTr="002F05FE">
        <w:tc>
          <w:tcPr>
            <w:tcW w:w="1383" w:type="dxa"/>
          </w:tcPr>
          <w:p w:rsidR="002F05FE" w:rsidRPr="00E9564A" w:rsidRDefault="002F05FE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Kedua</w:t>
            </w:r>
          </w:p>
        </w:tc>
        <w:tc>
          <w:tcPr>
            <w:tcW w:w="283" w:type="dxa"/>
          </w:tcPr>
          <w:p w:rsidR="002F05FE" w:rsidRPr="00E9564A" w:rsidRDefault="002F05FE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2F05FE" w:rsidRPr="002F05FE" w:rsidRDefault="002F05FE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Agar seluruh pegawai mematuhi dan melaksanakan peraturan internal pada Pengadilan Agama Selayar dengan penuh rasa tanggung jawab;</w:t>
            </w:r>
          </w:p>
        </w:tc>
      </w:tr>
      <w:tr w:rsidR="009A2266" w:rsidRPr="00E9564A" w:rsidTr="002F05FE">
        <w:tc>
          <w:tcPr>
            <w:tcW w:w="1383" w:type="dxa"/>
          </w:tcPr>
          <w:p w:rsidR="009A2266" w:rsidRPr="00E9564A" w:rsidRDefault="009A2266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Ke</w:t>
            </w:r>
            <w:r w:rsidR="002F05FE">
              <w:rPr>
                <w:rFonts w:asciiTheme="majorHAnsi" w:eastAsia="Malgun Gothic" w:hAnsiTheme="majorHAnsi" w:cs="Malgun Gothic Semilight"/>
              </w:rPr>
              <w:t>tiga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Pr="00911EBE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BE580F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</w:tc>
      </w:tr>
    </w:tbl>
    <w:p w:rsidR="009A2266" w:rsidRPr="00E9564A" w:rsidRDefault="009A2266" w:rsidP="009A2266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9A2266" w:rsidRPr="008D5177" w:rsidTr="00EE28AA">
        <w:trPr>
          <w:jc w:val="right"/>
        </w:trPr>
        <w:tc>
          <w:tcPr>
            <w:tcW w:w="1526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9A2266" w:rsidRPr="008D5177" w:rsidTr="00EE28AA">
        <w:trPr>
          <w:jc w:val="right"/>
        </w:trPr>
        <w:tc>
          <w:tcPr>
            <w:tcW w:w="1526" w:type="dxa"/>
          </w:tcPr>
          <w:p w:rsidR="009A2266" w:rsidRPr="008D5177" w:rsidRDefault="00A529F3" w:rsidP="00EE28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Malgun Gothic Semilight" w:hAnsiTheme="majorHAnsi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31797DB" wp14:editId="0B2974CB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59690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2266" w:rsidRPr="008D517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 Januari 2020</w:t>
            </w:r>
          </w:p>
        </w:tc>
      </w:tr>
      <w:tr w:rsidR="009A2266" w:rsidRPr="008D5177" w:rsidTr="00EE28AA">
        <w:trPr>
          <w:jc w:val="right"/>
        </w:trPr>
        <w:tc>
          <w:tcPr>
            <w:tcW w:w="3794" w:type="dxa"/>
            <w:gridSpan w:val="3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Ketua,</w:t>
            </w: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9A2266" w:rsidRPr="00E9564A" w:rsidRDefault="009A2266" w:rsidP="009A2266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p w:rsidR="00911EBE" w:rsidRDefault="00911EB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1"/>
        <w:tblW w:w="4962" w:type="dxa"/>
        <w:tblInd w:w="40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</w:tblGrid>
      <w:tr w:rsidR="00911EBE" w:rsidRPr="004F2567" w:rsidTr="00C34FC6">
        <w:tc>
          <w:tcPr>
            <w:tcW w:w="993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911EBE" w:rsidRPr="004F2567" w:rsidTr="00C34FC6">
        <w:tc>
          <w:tcPr>
            <w:tcW w:w="993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911EBE" w:rsidRPr="004F2567" w:rsidRDefault="00911EBE" w:rsidP="00911EB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W20-A17/SK.043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>
              <w:rPr>
                <w:rFonts w:asciiTheme="majorHAnsi" w:hAnsiTheme="majorHAnsi"/>
                <w:sz w:val="16"/>
                <w:szCs w:val="16"/>
              </w:rPr>
              <w:t>KP.00/I/2020</w:t>
            </w:r>
          </w:p>
        </w:tc>
      </w:tr>
      <w:tr w:rsidR="00911EBE" w:rsidRPr="004F2567" w:rsidTr="00C34FC6">
        <w:tc>
          <w:tcPr>
            <w:tcW w:w="993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911EBE" w:rsidRPr="00911EBE" w:rsidRDefault="00911EBE" w:rsidP="00911EBE">
      <w:pPr>
        <w:pStyle w:val="ListParagraph"/>
        <w:spacing w:after="0" w:line="360" w:lineRule="auto"/>
        <w:ind w:left="4253"/>
        <w:rPr>
          <w:rFonts w:asciiTheme="majorHAnsi" w:hAnsiTheme="majorHAnsi"/>
        </w:rPr>
      </w:pPr>
    </w:p>
    <w:p w:rsidR="00911EBE" w:rsidRDefault="00911EBE" w:rsidP="00911EBE">
      <w:pPr>
        <w:pStyle w:val="ListParagraph"/>
        <w:spacing w:after="0" w:line="360" w:lineRule="auto"/>
        <w:ind w:left="426"/>
        <w:jc w:val="center"/>
        <w:rPr>
          <w:rFonts w:asciiTheme="majorHAnsi" w:hAnsiTheme="majorHAnsi"/>
          <w:b/>
        </w:rPr>
      </w:pPr>
    </w:p>
    <w:p w:rsidR="00911EBE" w:rsidRPr="00911EBE" w:rsidRDefault="00911EBE" w:rsidP="00911EBE">
      <w:pPr>
        <w:pStyle w:val="ListParagraph"/>
        <w:spacing w:after="0" w:line="360" w:lineRule="auto"/>
        <w:ind w:left="426"/>
        <w:jc w:val="center"/>
        <w:rPr>
          <w:rFonts w:asciiTheme="majorHAnsi" w:hAnsiTheme="majorHAnsi"/>
          <w:b/>
        </w:rPr>
      </w:pPr>
      <w:r w:rsidRPr="00911EBE">
        <w:rPr>
          <w:rFonts w:asciiTheme="majorHAnsi" w:hAnsiTheme="majorHAnsi"/>
          <w:b/>
        </w:rPr>
        <w:t>PERATURAN INTERNAL</w:t>
      </w:r>
    </w:p>
    <w:p w:rsidR="00911EBE" w:rsidRPr="00911EBE" w:rsidRDefault="00911EBE" w:rsidP="00911EBE">
      <w:pPr>
        <w:pStyle w:val="ListParagraph"/>
        <w:spacing w:after="0" w:line="360" w:lineRule="auto"/>
        <w:ind w:left="426"/>
        <w:jc w:val="center"/>
        <w:rPr>
          <w:rFonts w:asciiTheme="majorHAnsi" w:hAnsiTheme="majorHAnsi"/>
          <w:b/>
        </w:rPr>
      </w:pPr>
      <w:r w:rsidRPr="00911EBE">
        <w:rPr>
          <w:rFonts w:asciiTheme="majorHAnsi" w:hAnsiTheme="majorHAnsi"/>
          <w:b/>
        </w:rPr>
        <w:t>PENGADILAN AGAMA SELAYAR</w:t>
      </w:r>
    </w:p>
    <w:p w:rsidR="00911EBE" w:rsidRPr="00911EBE" w:rsidRDefault="00911EBE" w:rsidP="00911EBE">
      <w:pPr>
        <w:pStyle w:val="ListParagraph"/>
        <w:spacing w:after="0" w:line="360" w:lineRule="auto"/>
        <w:ind w:left="426"/>
        <w:jc w:val="center"/>
        <w:rPr>
          <w:rFonts w:asciiTheme="majorHAnsi" w:hAnsiTheme="majorHAnsi"/>
        </w:rPr>
      </w:pPr>
    </w:p>
    <w:p w:rsidR="00911EBE" w:rsidRPr="00911EBE" w:rsidRDefault="00911EBE" w:rsidP="00911EBE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Visi, Misi, Motto, dan Budaya Kerja</w:t>
      </w:r>
    </w:p>
    <w:p w:rsidR="00911EBE" w:rsidRPr="00911EBE" w:rsidRDefault="00911EBE" w:rsidP="00911EB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Visi</w:t>
      </w:r>
    </w:p>
    <w:p w:rsidR="00911EBE" w:rsidRPr="00911EBE" w:rsidRDefault="00911EBE" w:rsidP="00911EBE">
      <w:pPr>
        <w:pStyle w:val="ListParagraph"/>
        <w:spacing w:after="0" w:line="360" w:lineRule="auto"/>
        <w:ind w:left="1146"/>
        <w:rPr>
          <w:rFonts w:asciiTheme="majorHAnsi" w:hAnsiTheme="majorHAnsi"/>
        </w:rPr>
      </w:pPr>
      <w:r w:rsidRPr="00911EBE">
        <w:rPr>
          <w:rFonts w:asciiTheme="majorHAnsi" w:hAnsiTheme="majorHAnsi"/>
        </w:rPr>
        <w:t xml:space="preserve">Visi “Pengadilan Agama Selayar” adalah Memberikan pelayanan yang adil dan prima kepada seluruh masyarakat Pencari Keadilan. </w:t>
      </w:r>
    </w:p>
    <w:p w:rsidR="00911EBE" w:rsidRPr="00911EBE" w:rsidRDefault="00911EBE" w:rsidP="00911EB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Misi</w:t>
      </w:r>
    </w:p>
    <w:p w:rsidR="00911EBE" w:rsidRPr="00911EBE" w:rsidRDefault="00911EBE" w:rsidP="00911EBE">
      <w:pPr>
        <w:pStyle w:val="ListParagraph"/>
        <w:spacing w:after="0" w:line="360" w:lineRule="auto"/>
        <w:ind w:left="1146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Misi “Pengadilan Agama Selayar” adalah :</w:t>
      </w:r>
    </w:p>
    <w:p w:rsidR="00911EBE" w:rsidRPr="00911EBE" w:rsidRDefault="00911EBE" w:rsidP="00911EBE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Mengembangkan keterampilan dan profesionalisme aparatur peradilan</w:t>
      </w:r>
    </w:p>
    <w:p w:rsidR="00911EBE" w:rsidRPr="00911EBE" w:rsidRDefault="00911EBE" w:rsidP="00911EBE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Meningkatkan kualitas sarana dan prasarana pelayanan publik</w:t>
      </w:r>
    </w:p>
    <w:p w:rsidR="00911EBE" w:rsidRPr="00911EBE" w:rsidRDefault="00911EBE" w:rsidP="00911EBE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Meningkatkan kualitas manajemen mutu pelayanan publik</w:t>
      </w:r>
    </w:p>
    <w:p w:rsidR="00911EBE" w:rsidRPr="00911EBE" w:rsidRDefault="00911EBE" w:rsidP="00911EB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Motto</w:t>
      </w:r>
    </w:p>
    <w:p w:rsidR="00911EBE" w:rsidRPr="00911EBE" w:rsidRDefault="00911EBE" w:rsidP="00911EBE">
      <w:pPr>
        <w:pStyle w:val="ListParagraph"/>
        <w:spacing w:after="0" w:line="360" w:lineRule="auto"/>
        <w:ind w:left="1146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Mewujudkan Visi dan Misi tersebut, Pengadilan Agama Selayar memiliki motto “Pelayanan cepat, tepat, transparan, dan bebas gratifikasi”</w:t>
      </w:r>
    </w:p>
    <w:p w:rsidR="00911EBE" w:rsidRPr="00911EBE" w:rsidRDefault="00911EBE" w:rsidP="00911EB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Budaya Kerja</w:t>
      </w:r>
    </w:p>
    <w:p w:rsidR="00911EBE" w:rsidRPr="00911EBE" w:rsidRDefault="00911EBE" w:rsidP="00911EBE">
      <w:pPr>
        <w:pStyle w:val="ListParagraph"/>
        <w:spacing w:line="360" w:lineRule="auto"/>
        <w:ind w:left="1134"/>
        <w:rPr>
          <w:rFonts w:asciiTheme="majorHAnsi" w:hAnsiTheme="majorHAnsi"/>
        </w:rPr>
      </w:pPr>
      <w:r w:rsidRPr="00911EBE">
        <w:rPr>
          <w:rFonts w:asciiTheme="majorHAnsi" w:hAnsiTheme="majorHAnsi"/>
        </w:rPr>
        <w:t>Budaya Kerja Pelayanan kepada masyarakat pencari keadilan adalah dengan :</w:t>
      </w:r>
    </w:p>
    <w:p w:rsidR="00911EBE" w:rsidRPr="00911EBE" w:rsidRDefault="00911EBE" w:rsidP="00911EBE">
      <w:pPr>
        <w:pStyle w:val="ListParagraph"/>
        <w:spacing w:line="360" w:lineRule="auto"/>
        <w:ind w:left="1134"/>
        <w:rPr>
          <w:rFonts w:asciiTheme="majorHAnsi" w:hAnsiTheme="majorHAnsi"/>
        </w:rPr>
      </w:pPr>
      <w:r w:rsidRPr="00911EBE">
        <w:rPr>
          <w:rFonts w:asciiTheme="majorHAnsi" w:hAnsiTheme="majorHAnsi"/>
        </w:rPr>
        <w:t>“5 R”</w:t>
      </w:r>
    </w:p>
    <w:p w:rsidR="00911EBE" w:rsidRPr="00911EBE" w:rsidRDefault="00911EBE" w:rsidP="00911EB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Rapi</w:t>
      </w:r>
    </w:p>
    <w:p w:rsidR="00911EBE" w:rsidRPr="00911EBE" w:rsidRDefault="00911EBE" w:rsidP="00911EBE">
      <w:pPr>
        <w:pStyle w:val="ListParagraph"/>
        <w:spacing w:line="360" w:lineRule="auto"/>
        <w:ind w:left="1512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Menyimpan barang di tempat kerja sesuai tempatnya. Agar mudah didapatkan saat diperlukan</w:t>
      </w:r>
    </w:p>
    <w:p w:rsidR="00911EBE" w:rsidRPr="00911EBE" w:rsidRDefault="00911EBE" w:rsidP="00911EB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Ringkas</w:t>
      </w:r>
    </w:p>
    <w:p w:rsidR="00911EBE" w:rsidRPr="00911EBE" w:rsidRDefault="00911EBE" w:rsidP="00911EBE">
      <w:pPr>
        <w:pStyle w:val="ListParagraph"/>
        <w:spacing w:line="360" w:lineRule="auto"/>
        <w:ind w:left="1512"/>
        <w:rPr>
          <w:rFonts w:asciiTheme="majorHAnsi" w:hAnsiTheme="majorHAnsi"/>
        </w:rPr>
      </w:pPr>
      <w:r w:rsidRPr="00911EBE">
        <w:rPr>
          <w:rFonts w:asciiTheme="majorHAnsi" w:hAnsiTheme="majorHAnsi"/>
        </w:rPr>
        <w:t>Pilih barang yang diperlukan untuk bekerja dan singkirkan barang yang tidak dipelukan</w:t>
      </w:r>
    </w:p>
    <w:p w:rsidR="00911EBE" w:rsidRPr="00911EBE" w:rsidRDefault="00911EBE" w:rsidP="00911EB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Resik</w:t>
      </w:r>
    </w:p>
    <w:p w:rsidR="00911EBE" w:rsidRPr="00911EBE" w:rsidRDefault="00911EBE" w:rsidP="00911EBE">
      <w:pPr>
        <w:pStyle w:val="ListParagraph"/>
        <w:spacing w:line="360" w:lineRule="auto"/>
        <w:ind w:left="1512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Membersihkan tempat/lingkungan kerja dari kotoran dan sampah</w:t>
      </w:r>
    </w:p>
    <w:p w:rsidR="00911EBE" w:rsidRPr="00911EBE" w:rsidRDefault="00911EBE" w:rsidP="00911EB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Rawat</w:t>
      </w:r>
    </w:p>
    <w:p w:rsidR="00911EBE" w:rsidRPr="00911EBE" w:rsidRDefault="00911EBE" w:rsidP="00911EBE">
      <w:pPr>
        <w:pStyle w:val="ListParagraph"/>
        <w:spacing w:line="360" w:lineRule="auto"/>
        <w:ind w:left="1512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Memperhatikan rapi, ringkas, dan resik dari waktu ke waktu</w:t>
      </w:r>
    </w:p>
    <w:p w:rsidR="00911EBE" w:rsidRPr="00911EBE" w:rsidRDefault="00911EBE" w:rsidP="00911EB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Rajin</w:t>
      </w:r>
    </w:p>
    <w:p w:rsidR="00911EBE" w:rsidRPr="00911EBE" w:rsidRDefault="00911EBE" w:rsidP="00911EBE">
      <w:pPr>
        <w:pStyle w:val="ListParagraph"/>
        <w:spacing w:line="360" w:lineRule="auto"/>
        <w:ind w:left="1512"/>
        <w:rPr>
          <w:rFonts w:asciiTheme="majorHAnsi" w:hAnsiTheme="majorHAnsi"/>
        </w:rPr>
      </w:pPr>
      <w:r w:rsidRPr="00911EBE">
        <w:rPr>
          <w:rFonts w:asciiTheme="majorHAnsi" w:hAnsiTheme="majorHAnsi"/>
        </w:rPr>
        <w:t>Disiplin melakukan rapi, ringkas, resik dan rawat.</w:t>
      </w:r>
    </w:p>
    <w:p w:rsidR="00911EBE" w:rsidRDefault="00911EBE" w:rsidP="00911EBE">
      <w:pPr>
        <w:pStyle w:val="ListParagraph"/>
        <w:spacing w:after="0" w:line="360" w:lineRule="auto"/>
        <w:ind w:left="786"/>
        <w:rPr>
          <w:rFonts w:asciiTheme="majorHAnsi" w:hAnsiTheme="majorHAnsi"/>
        </w:rPr>
      </w:pPr>
    </w:p>
    <w:p w:rsidR="00911EBE" w:rsidRPr="00911EBE" w:rsidRDefault="00911EBE" w:rsidP="00911EBE">
      <w:pPr>
        <w:pStyle w:val="ListParagraph"/>
        <w:spacing w:after="0" w:line="360" w:lineRule="auto"/>
        <w:ind w:left="786"/>
        <w:rPr>
          <w:rFonts w:asciiTheme="majorHAnsi" w:hAnsiTheme="majorHAnsi"/>
        </w:rPr>
      </w:pPr>
    </w:p>
    <w:p w:rsidR="00911EBE" w:rsidRPr="00911EBE" w:rsidRDefault="00911EBE" w:rsidP="00911EBE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lastRenderedPageBreak/>
        <w:t>Apel Pagi, Jam Kerja dan Pakaian Dinas</w:t>
      </w:r>
    </w:p>
    <w:p w:rsidR="00911EBE" w:rsidRPr="00911EBE" w:rsidRDefault="00911EBE" w:rsidP="00911EBE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Apel Pagi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Apel Pagi dilaksanakan setiap hari Senin pada pkl. 08:00 Wita s/d selesai</w:t>
      </w:r>
    </w:p>
    <w:p w:rsidR="00911EBE" w:rsidRPr="00911EBE" w:rsidRDefault="00911EBE" w:rsidP="00911EBE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Jam Kerja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Hari Senin – Kamis</w:t>
      </w:r>
      <w:r w:rsidRPr="00911EBE">
        <w:rPr>
          <w:rFonts w:asciiTheme="majorHAnsi" w:hAnsiTheme="majorHAnsi"/>
        </w:rPr>
        <w:tab/>
        <w:t>: Pkl. 08:00 – 16:30 Wita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Istirahat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>: Pkl. 12:00 – 13:00 Wita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Hari Jumat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>: Pkl. 08:00 – 17:00 Wita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Istirahat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>: Pkl. 11:30 – 13:00 Wita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Setiap hari Jumat, dilaksanakan Jumat Bersih atau Olahraga bersama</w:t>
      </w:r>
    </w:p>
    <w:p w:rsidR="00911EBE" w:rsidRPr="00911EBE" w:rsidRDefault="00911EBE" w:rsidP="00911EBE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Pakaian Dinas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 xml:space="preserve">Hari Senin – Rabu </w:t>
      </w:r>
      <w:r w:rsidRPr="00911EBE">
        <w:rPr>
          <w:rFonts w:asciiTheme="majorHAnsi" w:hAnsiTheme="majorHAnsi"/>
        </w:rPr>
        <w:tab/>
        <w:t>: PDH (Pakaian Dinas Harian)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Hari Kamis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>: Batik Seragam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Hari Jumat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>: Pakaian Olahraga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Peraturan lain selama jam kerja :</w:t>
      </w:r>
    </w:p>
    <w:p w:rsidR="00911EBE" w:rsidRPr="00911EBE" w:rsidRDefault="00911EBE" w:rsidP="00911EBE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Memakai Nametag.</w:t>
      </w:r>
    </w:p>
    <w:p w:rsidR="00911EBE" w:rsidRPr="00911EBE" w:rsidRDefault="00911EBE" w:rsidP="00911EBE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Tidak di perbolehkan memakai pakaian yang berbahan jeans.</w:t>
      </w:r>
    </w:p>
    <w:p w:rsidR="00911EBE" w:rsidRPr="00911EBE" w:rsidRDefault="00911EBE" w:rsidP="00911EBE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Tidak diperbolehkan memakai sandal ke kantor.</w:t>
      </w:r>
    </w:p>
    <w:p w:rsidR="009A2266" w:rsidRPr="00E9564A" w:rsidRDefault="00A529F3" w:rsidP="009A2266">
      <w:pPr>
        <w:spacing w:line="360" w:lineRule="auto"/>
        <w:rPr>
          <w:rFonts w:asciiTheme="majorHAnsi" w:hAnsiTheme="majorHAnsi"/>
        </w:rPr>
      </w:pPr>
      <w:r>
        <w:rPr>
          <w:rFonts w:asciiTheme="majorHAnsi" w:eastAsia="Malgun Gothic Semilight" w:hAnsiTheme="majorHAnsi" w:cs="Times New Roman"/>
          <w:noProof/>
        </w:rPr>
        <w:drawing>
          <wp:anchor distT="0" distB="0" distL="114300" distR="114300" simplePos="0" relativeHeight="251661312" behindDoc="0" locked="0" layoutInCell="1" allowOverlap="1" wp14:anchorId="50F32E80" wp14:editId="1C4BBA38">
            <wp:simplePos x="0" y="0"/>
            <wp:positionH relativeFrom="column">
              <wp:posOffset>3393440</wp:posOffset>
            </wp:positionH>
            <wp:positionV relativeFrom="paragraph">
              <wp:posOffset>222250</wp:posOffset>
            </wp:positionV>
            <wp:extent cx="1742440" cy="1105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.rahman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911EBE" w:rsidRPr="008D5177" w:rsidTr="00C34FC6">
        <w:trPr>
          <w:jc w:val="right"/>
        </w:trPr>
        <w:tc>
          <w:tcPr>
            <w:tcW w:w="3794" w:type="dxa"/>
          </w:tcPr>
          <w:p w:rsidR="00911EBE" w:rsidRPr="008D5177" w:rsidRDefault="00911EBE" w:rsidP="00C34FC6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Ketua,</w:t>
            </w:r>
          </w:p>
          <w:p w:rsidR="00911EBE" w:rsidRPr="008D5177" w:rsidRDefault="00911EBE" w:rsidP="00C34FC6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11EBE" w:rsidRPr="008D5177" w:rsidRDefault="00911EBE" w:rsidP="00C34FC6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11EBE" w:rsidRPr="008D5177" w:rsidRDefault="00911EBE" w:rsidP="00C34FC6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11EBE" w:rsidRPr="008D5177" w:rsidRDefault="00911EBE" w:rsidP="00C34FC6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11EBE" w:rsidRPr="008D5177" w:rsidRDefault="00911EBE" w:rsidP="00C34FC6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11EBE" w:rsidRPr="008D5177" w:rsidRDefault="00911EBE" w:rsidP="00C34FC6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911EBE" w:rsidRPr="008D5177" w:rsidRDefault="00911EBE" w:rsidP="00C34FC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BE0B77" w:rsidRDefault="00BE0B77">
      <w:bookmarkStart w:id="0" w:name="_GoBack"/>
      <w:bookmarkEnd w:id="0"/>
    </w:p>
    <w:sectPr w:rsidR="00BE0B77" w:rsidSect="00E9564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4E32"/>
    <w:multiLevelType w:val="hybridMultilevel"/>
    <w:tmpl w:val="58982A9E"/>
    <w:lvl w:ilvl="0" w:tplc="B4BC1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226D8"/>
    <w:multiLevelType w:val="hybridMultilevel"/>
    <w:tmpl w:val="BE88FD48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29574C"/>
    <w:multiLevelType w:val="hybridMultilevel"/>
    <w:tmpl w:val="905EE07E"/>
    <w:lvl w:ilvl="0" w:tplc="CB10C65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BA865F0"/>
    <w:multiLevelType w:val="hybridMultilevel"/>
    <w:tmpl w:val="B2003CF4"/>
    <w:lvl w:ilvl="0" w:tplc="59EC46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1D61C7"/>
    <w:multiLevelType w:val="hybridMultilevel"/>
    <w:tmpl w:val="785AAC70"/>
    <w:lvl w:ilvl="0" w:tplc="CFE4E63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>
    <w:nsid w:val="48925C93"/>
    <w:multiLevelType w:val="hybridMultilevel"/>
    <w:tmpl w:val="5896C59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607A2A"/>
    <w:multiLevelType w:val="hybridMultilevel"/>
    <w:tmpl w:val="5A283C5A"/>
    <w:lvl w:ilvl="0" w:tplc="D624E39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C9C1484"/>
    <w:multiLevelType w:val="hybridMultilevel"/>
    <w:tmpl w:val="5D4ED49A"/>
    <w:lvl w:ilvl="0" w:tplc="C9D6C152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5D50B8"/>
    <w:multiLevelType w:val="hybridMultilevel"/>
    <w:tmpl w:val="0FC2E842"/>
    <w:lvl w:ilvl="0" w:tplc="BECC507C">
      <w:start w:val="1"/>
      <w:numFmt w:val="decimal"/>
      <w:lvlText w:val="%1."/>
      <w:lvlJc w:val="left"/>
      <w:pPr>
        <w:ind w:left="720" w:hanging="360"/>
      </w:pPr>
      <w:rPr>
        <w:rFonts w:eastAsia="Malgun Gothic" w:cs="Malgun Gothic Semi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A5B16"/>
    <w:multiLevelType w:val="hybridMultilevel"/>
    <w:tmpl w:val="AF967FCA"/>
    <w:lvl w:ilvl="0" w:tplc="3D3C79F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66"/>
    <w:rsid w:val="0001209C"/>
    <w:rsid w:val="0006426B"/>
    <w:rsid w:val="001700E9"/>
    <w:rsid w:val="00197D2C"/>
    <w:rsid w:val="002645D3"/>
    <w:rsid w:val="002743D5"/>
    <w:rsid w:val="002960FF"/>
    <w:rsid w:val="002D056D"/>
    <w:rsid w:val="002F05FE"/>
    <w:rsid w:val="003477F6"/>
    <w:rsid w:val="003F40C8"/>
    <w:rsid w:val="003F6C73"/>
    <w:rsid w:val="004316B1"/>
    <w:rsid w:val="004C1FB5"/>
    <w:rsid w:val="004F510F"/>
    <w:rsid w:val="005240D7"/>
    <w:rsid w:val="005434ED"/>
    <w:rsid w:val="00576589"/>
    <w:rsid w:val="0060033B"/>
    <w:rsid w:val="0064473A"/>
    <w:rsid w:val="00684A63"/>
    <w:rsid w:val="006D5C41"/>
    <w:rsid w:val="006F1178"/>
    <w:rsid w:val="00760D96"/>
    <w:rsid w:val="00767D9C"/>
    <w:rsid w:val="00820771"/>
    <w:rsid w:val="00832653"/>
    <w:rsid w:val="00862E69"/>
    <w:rsid w:val="008637E4"/>
    <w:rsid w:val="008A6A8E"/>
    <w:rsid w:val="008E5BA3"/>
    <w:rsid w:val="00911EBE"/>
    <w:rsid w:val="009A2266"/>
    <w:rsid w:val="00A2251F"/>
    <w:rsid w:val="00A529F3"/>
    <w:rsid w:val="00AE6E88"/>
    <w:rsid w:val="00AF2A75"/>
    <w:rsid w:val="00B61EC3"/>
    <w:rsid w:val="00B65FF5"/>
    <w:rsid w:val="00BE0B77"/>
    <w:rsid w:val="00C13CF5"/>
    <w:rsid w:val="00C62B61"/>
    <w:rsid w:val="00D4554E"/>
    <w:rsid w:val="00DB67E8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66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911EB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66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911EB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8</cp:revision>
  <cp:lastPrinted>2020-04-19T03:16:00Z</cp:lastPrinted>
  <dcterms:created xsi:type="dcterms:W3CDTF">2020-04-18T23:37:00Z</dcterms:created>
  <dcterms:modified xsi:type="dcterms:W3CDTF">2020-04-19T03:24:00Z</dcterms:modified>
</cp:coreProperties>
</file>