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70" w:rsidRPr="00EC77EB" w:rsidRDefault="00441070" w:rsidP="00441070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EC77EB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70AF7947" wp14:editId="16CC9F84">
            <wp:extent cx="960518" cy="1170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18" cy="117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>SURAT KEPUTUSAN</w:t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441070" w:rsidRPr="00F6790E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NOMOR  :  W2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0-A17/SK.047</w:t>
      </w: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>/</w:t>
      </w:r>
      <w:r w:rsidRPr="00EC77EB"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  <w:t>PS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.00/I/2020</w:t>
      </w:r>
    </w:p>
    <w:p w:rsidR="00441070" w:rsidRPr="00EC77EB" w:rsidRDefault="00441070" w:rsidP="00441070">
      <w:pPr>
        <w:spacing w:before="24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>TENTANG</w:t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EC77EB">
        <w:rPr>
          <w:rFonts w:asciiTheme="majorHAnsi" w:hAnsiTheme="majorHAnsi" w:cs="Arial"/>
          <w:b/>
          <w:sz w:val="24"/>
          <w:szCs w:val="24"/>
        </w:rPr>
        <w:t>KRITERIA PENILAIAN ROLE MODEL</w:t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 xml:space="preserve">TAHUN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2020</w:t>
      </w: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</w:p>
    <w:p w:rsidR="00441070" w:rsidRPr="00EC77EB" w:rsidRDefault="00441070" w:rsidP="00441070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  <w:szCs w:val="24"/>
        </w:rPr>
      </w:pPr>
      <w:r w:rsidRPr="00EC77EB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441070" w:rsidRPr="00EC77EB" w:rsidRDefault="00441070" w:rsidP="00441070">
      <w:p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441070" w:rsidRPr="00EC77EB" w:rsidTr="00D46E68">
        <w:tc>
          <w:tcPr>
            <w:tcW w:w="1383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441070" w:rsidRPr="00E02266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  <w:r w:rsidRPr="00EC77EB">
              <w:rPr>
                <w:rFonts w:asciiTheme="majorHAnsi" w:hAnsiTheme="majorHAnsi"/>
              </w:rPr>
              <w:t xml:space="preserve">Bahwa dalam rangka pembinaan Pegawai dan manajemen SDM serta pelaksanaan Reformasi Birokrasi (RB) dilingkungan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EC77EB">
              <w:rPr>
                <w:rFonts w:asciiTheme="majorHAnsi" w:hAnsiTheme="majorHAnsi"/>
              </w:rPr>
              <w:t xml:space="preserve"> yang salah satunya memberikan penghargaan kepada Pegawai berupa penunjukan Role Model sehingga dapat menjadi teladan bagi pegawai lain. Berkaitan dengan itu perlu disusun Kriteria Penilaian Role Model pada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EC77EB">
              <w:rPr>
                <w:rFonts w:asciiTheme="majorHAnsi" w:hAnsiTheme="majorHAnsi"/>
              </w:rPr>
              <w:t xml:space="preserve"> Tahun </w:t>
            </w:r>
            <w:r>
              <w:rPr>
                <w:rFonts w:asciiTheme="majorHAnsi" w:hAnsiTheme="majorHAnsi"/>
              </w:rPr>
              <w:t>2020</w:t>
            </w:r>
            <w:r w:rsidRPr="00EC77EB">
              <w:rPr>
                <w:rFonts w:asciiTheme="majorHAnsi" w:hAnsiTheme="majorHAnsi"/>
              </w:rPr>
              <w:t xml:space="preserve"> dengan Surat Keputusan Ketua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441070" w:rsidRPr="00EC77EB" w:rsidTr="00D46E68">
        <w:tc>
          <w:tcPr>
            <w:tcW w:w="1383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441070" w:rsidRPr="00EC77EB" w:rsidRDefault="00441070" w:rsidP="0044107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  <w:lang w:val="en-US"/>
              </w:rPr>
            </w:pPr>
            <w:r w:rsidRPr="00EC77EB">
              <w:rPr>
                <w:rFonts w:asciiTheme="majorHAnsi" w:hAnsiTheme="majorHAnsi"/>
              </w:rPr>
              <w:t>Undang-Undang Republik Indonesia Nomor 50 Tahun 2009 tentang Perubahan Kedua Atas Undang-Undang Nomor 7 Tahun 1989 tentang Peradilan Agama;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Cetak Biru Pembaruan Peradilan 2010-2035 Mahkamah Agung Republik Indonesia;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Surat Keputusan Direktorat Jenderal Badan Peradilan Agama Nomor 2077.a/DJA/OT.01.3/SK/10/2018 tentang Tim Penyusunan Pedoman Akreditasi Penjaminan Mutu Badan  Peradilan Agama.</w:t>
            </w:r>
          </w:p>
        </w:tc>
      </w:tr>
      <w:tr w:rsidR="00441070" w:rsidRPr="00EC77EB" w:rsidTr="00D46E68">
        <w:tc>
          <w:tcPr>
            <w:tcW w:w="9242" w:type="dxa"/>
            <w:gridSpan w:val="3"/>
          </w:tcPr>
          <w:p w:rsidR="00441070" w:rsidRDefault="00441070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</w:p>
          <w:p w:rsidR="00441070" w:rsidRDefault="00441070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</w:p>
          <w:p w:rsidR="00441070" w:rsidRPr="00EC77EB" w:rsidRDefault="00441070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EC77EB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441070" w:rsidRPr="00EC77EB" w:rsidTr="00D46E68">
        <w:tc>
          <w:tcPr>
            <w:tcW w:w="1383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lastRenderedPageBreak/>
              <w:t>Menetapkan</w:t>
            </w:r>
          </w:p>
        </w:tc>
        <w:tc>
          <w:tcPr>
            <w:tcW w:w="282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hAnsiTheme="majorHAnsi" w:cs="Arial"/>
                <w:b/>
                <w:lang w:val="en-US"/>
              </w:rPr>
            </w:pPr>
            <w:r w:rsidRPr="00EC77EB">
              <w:rPr>
                <w:rFonts w:asciiTheme="majorHAnsi" w:eastAsia="Malgun Gothic" w:hAnsiTheme="majorHAnsi" w:cs="Malgun Gothic Semilight"/>
                <w:b/>
                <w:lang w:val="en-US"/>
              </w:rPr>
              <w:t>SURAT</w:t>
            </w:r>
            <w:r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 </w:t>
            </w:r>
            <w:r w:rsidRPr="00EC77EB">
              <w:rPr>
                <w:rFonts w:asciiTheme="majorHAnsi" w:eastAsia="Malgun Gothic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</w:t>
            </w:r>
            <w:r w:rsidRPr="00EC77EB">
              <w:rPr>
                <w:rFonts w:asciiTheme="majorHAnsi" w:eastAsia="Malgun Gothic" w:hAnsiTheme="majorHAnsi" w:cs="Malgun Gothic Semilight"/>
                <w:b/>
              </w:rPr>
              <w:t xml:space="preserve"> TENTANG </w:t>
            </w:r>
            <w:r w:rsidRPr="00EC77EB">
              <w:rPr>
                <w:rFonts w:asciiTheme="majorHAnsi" w:hAnsiTheme="majorHAnsi" w:cs="Arial"/>
                <w:b/>
              </w:rPr>
              <w:t xml:space="preserve">KRITERIA PENILAIAN ROLE MODEL </w:t>
            </w:r>
            <w:r w:rsidRPr="00EC77EB">
              <w:rPr>
                <w:rFonts w:asciiTheme="majorHAnsi" w:eastAsia="Malgun Gothic" w:hAnsiTheme="majorHAnsi" w:cs="Malgun Gothic Semilight"/>
                <w:b/>
              </w:rPr>
              <w:t xml:space="preserve">PADA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</w:t>
            </w:r>
            <w:r w:rsidRPr="00EC77EB">
              <w:rPr>
                <w:rFonts w:asciiTheme="majorHAnsi" w:eastAsia="Malgun Gothic" w:hAnsiTheme="majorHAnsi" w:cs="Malgun Gothic Semilight"/>
                <w:b/>
              </w:rPr>
              <w:t xml:space="preserve"> TAHUN </w:t>
            </w:r>
            <w:r>
              <w:rPr>
                <w:rFonts w:asciiTheme="majorHAnsi" w:eastAsia="Malgun Gothic" w:hAnsiTheme="majorHAnsi" w:cs="Malgun Gothic Semilight"/>
                <w:b/>
              </w:rPr>
              <w:t>2020</w:t>
            </w:r>
            <w:r w:rsidRPr="00EC77EB">
              <w:rPr>
                <w:rFonts w:asciiTheme="majorHAnsi" w:eastAsia="Malgun Gothic" w:hAnsiTheme="majorHAnsi" w:cs="Malgun Gothic Semilight"/>
              </w:rPr>
              <w:t>;</w:t>
            </w:r>
          </w:p>
        </w:tc>
      </w:tr>
      <w:tr w:rsidR="00441070" w:rsidRPr="00EC77EB" w:rsidTr="00D46E68">
        <w:tc>
          <w:tcPr>
            <w:tcW w:w="1383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441070" w:rsidRPr="00EC77EB" w:rsidRDefault="00441070" w:rsidP="00D46E68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EC77EB">
              <w:rPr>
                <w:rFonts w:asciiTheme="majorHAnsi" w:hAnsiTheme="majorHAnsi"/>
              </w:rPr>
              <w:t xml:space="preserve">Kriteria Role Model </w:t>
            </w:r>
            <w:r>
              <w:rPr>
                <w:rFonts w:asciiTheme="majorHAnsi" w:hAnsiTheme="majorHAnsi"/>
              </w:rPr>
              <w:t xml:space="preserve">Pengadilan Agama </w:t>
            </w:r>
            <w:r>
              <w:rPr>
                <w:rFonts w:asciiTheme="majorHAnsi" w:hAnsiTheme="majorHAnsi"/>
              </w:rPr>
              <w:t>Selayar</w:t>
            </w:r>
            <w:r w:rsidRPr="00EC77EB">
              <w:rPr>
                <w:rFonts w:asciiTheme="majorHAnsi" w:hAnsiTheme="majorHAnsi"/>
              </w:rPr>
              <w:t>, sebagai berikut :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Profesional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Berintegritas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Kinerja Baik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Kreatif dan Inovatif</w:t>
            </w:r>
          </w:p>
          <w:p w:rsidR="00441070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Kedisiplinan</w:t>
            </w:r>
          </w:p>
          <w:p w:rsidR="00441070" w:rsidRPr="00EC77EB" w:rsidRDefault="00441070" w:rsidP="0044107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Kerjasama</w:t>
            </w:r>
          </w:p>
        </w:tc>
      </w:tr>
      <w:tr w:rsidR="00441070" w:rsidRPr="00EC77EB" w:rsidTr="00D46E68">
        <w:tc>
          <w:tcPr>
            <w:tcW w:w="1383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441070" w:rsidRPr="00EC77EB" w:rsidRDefault="00441070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C77EB">
              <w:rPr>
                <w:rFonts w:asciiTheme="majorHAnsi" w:eastAsia="Malgun Gothic" w:hAnsiTheme="majorHAnsi" w:cs="Malgun Gothic Semilight"/>
              </w:rPr>
              <w:t>Keputusan ini berlaku sejak tanggal ditetapkan, dengan ketentuan akan dilakukan perbaikan apabila dikemudian hari terdapat kekeliruan dalam Surat Keputusan ini;</w:t>
            </w:r>
          </w:p>
        </w:tc>
      </w:tr>
    </w:tbl>
    <w:p w:rsidR="00441070" w:rsidRPr="00EC77EB" w:rsidRDefault="00441070" w:rsidP="00441070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C77EB">
        <w:rPr>
          <w:rFonts w:asciiTheme="majorHAnsi" w:eastAsia="Malgun Gothic" w:hAnsiTheme="majorHAnsi" w:cs="Malgun Gothic Semilight"/>
        </w:rPr>
        <w:tab/>
      </w:r>
    </w:p>
    <w:p w:rsidR="00441070" w:rsidRPr="00EC77EB" w:rsidRDefault="00441070" w:rsidP="00441070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441070" w:rsidRPr="00EC77EB" w:rsidTr="00D46E68">
        <w:trPr>
          <w:jc w:val="right"/>
        </w:trPr>
        <w:tc>
          <w:tcPr>
            <w:tcW w:w="1526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441070" w:rsidRPr="00EC77EB" w:rsidTr="00D46E68">
        <w:trPr>
          <w:jc w:val="right"/>
        </w:trPr>
        <w:tc>
          <w:tcPr>
            <w:tcW w:w="1526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441070" w:rsidRPr="00EC77EB" w:rsidTr="00D46E68">
        <w:trPr>
          <w:jc w:val="right"/>
        </w:trPr>
        <w:tc>
          <w:tcPr>
            <w:tcW w:w="3794" w:type="dxa"/>
            <w:gridSpan w:val="3"/>
          </w:tcPr>
          <w:p w:rsidR="00441070" w:rsidRPr="00EC77EB" w:rsidRDefault="00441070" w:rsidP="00D46E68">
            <w:pPr>
              <w:jc w:val="both"/>
              <w:rPr>
                <w:rFonts w:asciiTheme="majorHAnsi" w:hAnsiTheme="majorHAnsi"/>
              </w:rPr>
            </w:pPr>
            <w:r w:rsidRPr="00EC77EB">
              <w:rPr>
                <w:rFonts w:asciiTheme="majorHAnsi" w:hAnsiTheme="majorHAnsi"/>
              </w:rPr>
              <w:t>Ketua,</w:t>
            </w:r>
          </w:p>
          <w:p w:rsidR="00441070" w:rsidRPr="00EC77EB" w:rsidRDefault="0044107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441070" w:rsidRPr="00EC77EB" w:rsidRDefault="0044107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441070" w:rsidRPr="00EC77EB" w:rsidRDefault="0044107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441070" w:rsidRPr="00EC77EB" w:rsidRDefault="0044107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441070" w:rsidRPr="00EC77EB" w:rsidRDefault="0044107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441070" w:rsidRPr="008D5177" w:rsidRDefault="00441070" w:rsidP="0044107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441070" w:rsidRPr="00EC77EB" w:rsidRDefault="00441070" w:rsidP="0044107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441070" w:rsidRPr="00EC77EB" w:rsidRDefault="00441070" w:rsidP="00441070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</w:p>
    <w:p w:rsidR="00441070" w:rsidRPr="00EC77EB" w:rsidRDefault="00441070" w:rsidP="00441070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  <w:r w:rsidRPr="00EC77EB">
        <w:rPr>
          <w:rFonts w:asciiTheme="majorHAnsi" w:eastAsia="Malgun Gothic" w:hAnsiTheme="majorHAnsi" w:cs="Malgun Gothic Semilight"/>
        </w:rPr>
        <w:tab/>
      </w:r>
    </w:p>
    <w:p w:rsidR="00441070" w:rsidRPr="00EC77EB" w:rsidRDefault="00441070" w:rsidP="00441070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C77EB">
        <w:rPr>
          <w:rFonts w:asciiTheme="majorHAnsi" w:eastAsia="Malgun Gothic" w:hAnsiTheme="majorHAnsi" w:cs="Malgun Gothic Semilight"/>
          <w:sz w:val="16"/>
          <w:szCs w:val="16"/>
        </w:rPr>
        <w:t xml:space="preserve">Tembusan : </w:t>
      </w:r>
    </w:p>
    <w:p w:rsidR="00441070" w:rsidRPr="00EC77EB" w:rsidRDefault="00441070" w:rsidP="004410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C77EB">
        <w:rPr>
          <w:rFonts w:asciiTheme="majorHAnsi" w:eastAsia="Malgun Gothic" w:hAnsiTheme="majorHAnsi" w:cs="Malgun Gothic Semilight"/>
          <w:sz w:val="16"/>
          <w:szCs w:val="16"/>
        </w:rPr>
        <w:t xml:space="preserve">Y.M. Ketua </w:t>
      </w:r>
      <w:r>
        <w:rPr>
          <w:rFonts w:asciiTheme="majorHAnsi" w:eastAsia="Malgun Gothic" w:hAnsiTheme="majorHAnsi" w:cs="Malgun Gothic Semilight"/>
          <w:sz w:val="16"/>
          <w:szCs w:val="16"/>
        </w:rPr>
        <w:t>Pengadilan Tinggi Agama Makassar</w:t>
      </w:r>
      <w:bookmarkStart w:id="0" w:name="_GoBack"/>
      <w:bookmarkEnd w:id="0"/>
      <w:r w:rsidRPr="00EC77EB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441070" w:rsidRPr="00EC77EB" w:rsidRDefault="00441070" w:rsidP="004410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C77EB">
        <w:rPr>
          <w:rFonts w:asciiTheme="majorHAnsi" w:eastAsia="Malgun Gothic" w:hAnsiTheme="majorHAnsi" w:cs="Malgun Gothic Semilight"/>
          <w:sz w:val="16"/>
          <w:szCs w:val="16"/>
        </w:rPr>
        <w:t xml:space="preserve">Y.M. Ketua Pengadilan Agama </w:t>
      </w:r>
      <w:r>
        <w:rPr>
          <w:rFonts w:asciiTheme="majorHAnsi" w:eastAsia="Malgun Gothic" w:hAnsiTheme="majorHAnsi" w:cs="Malgun Gothic Semilight"/>
          <w:sz w:val="16"/>
          <w:szCs w:val="16"/>
        </w:rPr>
        <w:t>Selayar</w:t>
      </w:r>
    </w:p>
    <w:p w:rsidR="00441070" w:rsidRPr="00EC77EB" w:rsidRDefault="00441070" w:rsidP="004410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C77EB">
        <w:rPr>
          <w:rFonts w:asciiTheme="majorHAnsi" w:eastAsia="Malgun Gothic" w:hAnsiTheme="majorHAnsi" w:cs="Malgun Gothic Semilight"/>
          <w:sz w:val="16"/>
          <w:szCs w:val="16"/>
        </w:rPr>
        <w:t>Arsip</w:t>
      </w:r>
    </w:p>
    <w:p w:rsidR="00441070" w:rsidRPr="00EC77EB" w:rsidRDefault="00441070" w:rsidP="00441070">
      <w:pPr>
        <w:spacing w:line="360" w:lineRule="auto"/>
        <w:rPr>
          <w:rFonts w:asciiTheme="majorHAnsi" w:hAnsiTheme="majorHAnsi"/>
        </w:rPr>
      </w:pPr>
    </w:p>
    <w:p w:rsidR="00BE0B77" w:rsidRDefault="00BE0B77"/>
    <w:sectPr w:rsidR="00BE0B77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761B"/>
    <w:multiLevelType w:val="hybridMultilevel"/>
    <w:tmpl w:val="E4D2D8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0745E5"/>
    <w:multiLevelType w:val="hybridMultilevel"/>
    <w:tmpl w:val="BB2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70"/>
    <w:rsid w:val="0001209C"/>
    <w:rsid w:val="0006426B"/>
    <w:rsid w:val="001700E9"/>
    <w:rsid w:val="00197D2C"/>
    <w:rsid w:val="002645D3"/>
    <w:rsid w:val="002743D5"/>
    <w:rsid w:val="002960FF"/>
    <w:rsid w:val="003477F6"/>
    <w:rsid w:val="003F40C8"/>
    <w:rsid w:val="003F6C73"/>
    <w:rsid w:val="004316B1"/>
    <w:rsid w:val="00441070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A2251F"/>
    <w:rsid w:val="00AD1437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0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0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2020-01-28T01:47:00Z</dcterms:created>
  <dcterms:modified xsi:type="dcterms:W3CDTF">2020-01-28T01:49:00Z</dcterms:modified>
</cp:coreProperties>
</file>