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055BA9"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F65DDD" w:rsidRPr="00F8558F">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NOMOR  :  </w:t>
      </w:r>
      <w:r w:rsidR="008F54F8">
        <w:rPr>
          <w:rFonts w:asciiTheme="majorHAnsi" w:eastAsia="Malgun Gothic Semilight" w:hAnsiTheme="majorHAnsi" w:cs="Times New Roman"/>
          <w:b/>
          <w:sz w:val="24"/>
          <w:szCs w:val="24"/>
        </w:rPr>
        <w:t>W20-A17/SK.176/PS.00/IV/2020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A85250"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PENUNJUKAN </w:t>
      </w:r>
      <w:r w:rsidR="005E572A">
        <w:rPr>
          <w:rFonts w:asciiTheme="majorHAnsi" w:eastAsia="Malgun Gothic Semilight" w:hAnsiTheme="majorHAnsi" w:cs="Times New Roman"/>
          <w:b/>
          <w:sz w:val="24"/>
          <w:szCs w:val="24"/>
        </w:rPr>
        <w:t>HAKIM PENGAWAS BIDANG</w:t>
      </w:r>
    </w:p>
    <w:p w:rsidR="00F8558F" w:rsidRPr="00567C74" w:rsidRDefault="00F23809"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87740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877400">
      <w:pPr>
        <w:spacing w:after="0" w:line="240" w:lineRule="auto"/>
        <w:jc w:val="center"/>
        <w:rPr>
          <w:rFonts w:asciiTheme="majorHAnsi" w:eastAsia="Malgun Gothic Semilight" w:hAnsiTheme="majorHAnsi" w:cs="Times New Roman"/>
          <w:b/>
          <w:sz w:val="24"/>
          <w:szCs w:val="24"/>
        </w:rPr>
      </w:pPr>
    </w:p>
    <w:p w:rsidR="00F8558F" w:rsidRPr="00F8558F" w:rsidRDefault="00055BA9" w:rsidP="00877400">
      <w:pPr>
        <w:spacing w:after="24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KETUA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E572A" w:rsidRPr="005E572A" w:rsidRDefault="005E572A" w:rsidP="00774877">
            <w:pPr>
              <w:pStyle w:val="ListParagraph"/>
              <w:numPr>
                <w:ilvl w:val="0"/>
                <w:numId w:val="1"/>
              </w:numPr>
              <w:spacing w:line="360" w:lineRule="auto"/>
              <w:jc w:val="both"/>
              <w:rPr>
                <w:rFonts w:asciiTheme="majorHAnsi" w:hAnsiTheme="majorHAnsi"/>
              </w:rPr>
            </w:pPr>
            <w:r w:rsidRPr="005E572A">
              <w:rPr>
                <w:rFonts w:asciiTheme="majorHAnsi" w:hAnsiTheme="majorHAnsi"/>
              </w:rPr>
              <w:t>Bahwa Pasal 53 Undang-Undang Nomor 50 Tahun 2009 tentang Perubahan Kedua atas Undang-Undang Nomor 7 Tahun 1989 tentang Peradilan Agama menyatakan bahwa Ketua Pengadilan melakukan pengawasan atas pelaksanaan tugas hakim, tugas dan perilaku Panitera, Sekretaris, Juru Sita di daerah hukumnya;</w:t>
            </w:r>
          </w:p>
          <w:p w:rsidR="005E572A" w:rsidRPr="005E572A" w:rsidRDefault="005E572A" w:rsidP="00774877">
            <w:pPr>
              <w:pStyle w:val="ListParagraph"/>
              <w:numPr>
                <w:ilvl w:val="0"/>
                <w:numId w:val="1"/>
              </w:numPr>
              <w:spacing w:line="360" w:lineRule="auto"/>
              <w:jc w:val="both"/>
              <w:rPr>
                <w:rFonts w:asciiTheme="majorHAnsi" w:hAnsiTheme="majorHAnsi"/>
              </w:rPr>
            </w:pPr>
            <w:r w:rsidRPr="005E572A">
              <w:rPr>
                <w:rFonts w:asciiTheme="majorHAnsi" w:hAnsiTheme="majorHAnsi"/>
              </w:rPr>
              <w:t>Bahwa tata cara pengawasan dan evaluasi atas hasil pengawasan tesebut telah pula dilengkapi dengam pedoman pelaksanaan;</w:t>
            </w:r>
          </w:p>
          <w:p w:rsidR="005E572A" w:rsidRPr="005E572A" w:rsidRDefault="005E572A" w:rsidP="00774877">
            <w:pPr>
              <w:pStyle w:val="ListParagraph"/>
              <w:numPr>
                <w:ilvl w:val="0"/>
                <w:numId w:val="1"/>
              </w:numPr>
              <w:spacing w:line="360" w:lineRule="auto"/>
              <w:jc w:val="both"/>
              <w:rPr>
                <w:rFonts w:asciiTheme="majorHAnsi" w:hAnsiTheme="majorHAnsi"/>
              </w:rPr>
            </w:pPr>
            <w:r w:rsidRPr="005E572A">
              <w:rPr>
                <w:rFonts w:asciiTheme="majorHAnsi" w:hAnsiTheme="majorHAnsi"/>
              </w:rPr>
              <w:t>Bahwa untuk lebih mengintensifkan pengawasan dan evaluasi atas hasil pengawasan tersebut, maka tugas administrasi perlu dibagi dalam bidang-bidang pengawasan administrasi;</w:t>
            </w:r>
          </w:p>
          <w:p w:rsidR="00567C74" w:rsidRPr="005D7018" w:rsidRDefault="008F54F8" w:rsidP="008F54F8">
            <w:pPr>
              <w:pStyle w:val="ListParagraph"/>
              <w:numPr>
                <w:ilvl w:val="0"/>
                <w:numId w:val="1"/>
              </w:numPr>
              <w:spacing w:after="240" w:line="360" w:lineRule="auto"/>
              <w:ind w:left="357" w:right="-17" w:hanging="357"/>
              <w:jc w:val="both"/>
              <w:rPr>
                <w:rFonts w:ascii="Arial" w:hAnsi="Arial"/>
                <w:sz w:val="20"/>
                <w:szCs w:val="20"/>
              </w:rPr>
            </w:pPr>
            <w:r w:rsidRPr="00F03DBE">
              <w:rPr>
                <w:rFonts w:asciiTheme="majorHAnsi" w:eastAsia="Malgun Gothic Semilight" w:hAnsiTheme="majorHAnsi" w:cs="Malgun Gothic Semilight"/>
              </w:rPr>
              <w:t xml:space="preserve">bahwa </w:t>
            </w:r>
            <w:r>
              <w:rPr>
                <w:rFonts w:asciiTheme="majorHAnsi" w:eastAsia="Malgun Gothic Semilight" w:hAnsiTheme="majorHAnsi" w:cs="Malgun Gothic Semilight"/>
              </w:rPr>
              <w:t>sehubungan dengan pengangkatan Hakim Pratama pada Pengadilan Agama Selayar maka perlu membuat surat keputusan yang baru</w:t>
            </w:r>
            <w:r w:rsidR="005E572A" w:rsidRPr="005E572A">
              <w:rPr>
                <w:rFonts w:asciiTheme="majorHAnsi" w:hAnsiTheme="majorHAnsi"/>
              </w:rPr>
              <w: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Undang-Undang Nomor 48 Tahun 2009 tentang Kekuasaan Kehakiman;</w:t>
            </w:r>
          </w:p>
          <w:p w:rsidR="006C17EA" w:rsidRPr="005B37FC" w:rsidRDefault="006C17EA" w:rsidP="006C17EA">
            <w:pPr>
              <w:pStyle w:val="ListParagraph"/>
              <w:numPr>
                <w:ilvl w:val="0"/>
                <w:numId w:val="2"/>
              </w:numPr>
              <w:spacing w:line="360" w:lineRule="auto"/>
              <w:jc w:val="both"/>
              <w:rPr>
                <w:rFonts w:asciiTheme="majorHAnsi" w:hAnsiTheme="majorHAnsi"/>
              </w:rPr>
            </w:pPr>
            <w:r w:rsidRPr="005B37FC">
              <w:rPr>
                <w:rFonts w:asciiTheme="majorHAnsi" w:hAnsiTheme="majorHAnsi"/>
              </w:rPr>
              <w:t xml:space="preserve">Undang-Undang Nomor 14 tahun 1985 tentang Mahkamah Agung </w:t>
            </w:r>
            <w:r>
              <w:rPr>
                <w:rFonts w:asciiTheme="majorHAnsi" w:hAnsiTheme="majorHAnsi"/>
              </w:rPr>
              <w:t xml:space="preserve">sebagaimana telah diubah dengan </w:t>
            </w:r>
            <w:r w:rsidRPr="005B37FC">
              <w:rPr>
                <w:rFonts w:asciiTheme="majorHAnsi" w:hAnsiTheme="majorHAnsi"/>
              </w:rPr>
              <w:t xml:space="preserve">Undang-Undang </w:t>
            </w:r>
            <w:r>
              <w:rPr>
                <w:rFonts w:asciiTheme="majorHAnsi" w:hAnsiTheme="majorHAnsi"/>
              </w:rPr>
              <w:t xml:space="preserve">Nomor 5 Tahun 2004 dan terakhir diubah dengan Undang-Undang </w:t>
            </w:r>
            <w:r w:rsidRPr="005B37FC">
              <w:rPr>
                <w:rFonts w:asciiTheme="majorHAnsi" w:hAnsiTheme="majorHAnsi"/>
              </w:rPr>
              <w:t>Nomor 3 tahun 2009</w:t>
            </w:r>
            <w:r>
              <w:rPr>
                <w:rFonts w:asciiTheme="majorHAnsi" w:hAnsiTheme="majorHAnsi"/>
              </w:rPr>
              <w:t xml:space="preserve"> tentang perubahan Kedua atas </w:t>
            </w:r>
            <w:r w:rsidRPr="005B37FC">
              <w:rPr>
                <w:rFonts w:asciiTheme="majorHAnsi" w:hAnsiTheme="majorHAnsi"/>
              </w:rPr>
              <w:t>Undang-Undang Nomor 14 tahun 1985 tentang Mahkamah Agung;</w:t>
            </w:r>
          </w:p>
          <w:p w:rsidR="005E572A" w:rsidRPr="005E572A" w:rsidRDefault="006C17EA" w:rsidP="006C17EA">
            <w:pPr>
              <w:pStyle w:val="ListParagraph"/>
              <w:numPr>
                <w:ilvl w:val="0"/>
                <w:numId w:val="2"/>
              </w:numPr>
              <w:spacing w:line="360" w:lineRule="auto"/>
              <w:jc w:val="both"/>
              <w:rPr>
                <w:rFonts w:asciiTheme="majorHAnsi" w:hAnsiTheme="majorHAnsi"/>
              </w:rPr>
            </w:pPr>
            <w:r w:rsidRPr="00544654">
              <w:rPr>
                <w:rFonts w:asciiTheme="majorHAnsi" w:hAnsiTheme="majorHAnsi"/>
              </w:rPr>
              <w:lastRenderedPageBreak/>
              <w:t xml:space="preserve">Undang-Undang Nomor 7 Tahun 1989 Tentang Peradilan Agama sebagaimana telah diubah dengan Undang-Undang Nomor 3 Tahun 2006 </w:t>
            </w:r>
            <w:r>
              <w:rPr>
                <w:rFonts w:asciiTheme="majorHAnsi" w:hAnsiTheme="majorHAnsi"/>
              </w:rPr>
              <w:t xml:space="preserve">dan terakhir diubah dengan </w:t>
            </w:r>
            <w:r w:rsidRPr="00544654">
              <w:rPr>
                <w:rFonts w:asciiTheme="majorHAnsi" w:hAnsiTheme="majorHAnsi"/>
              </w:rPr>
              <w:t>Undang-Undang Nomor 50 Tahun 2009</w:t>
            </w:r>
            <w:r>
              <w:rPr>
                <w:rFonts w:asciiTheme="majorHAnsi" w:hAnsiTheme="majorHAnsi"/>
              </w:rPr>
              <w:t xml:space="preserve"> Tentang Perubahan Kedua </w:t>
            </w:r>
            <w:r w:rsidRPr="00544654">
              <w:rPr>
                <w:rFonts w:asciiTheme="majorHAnsi" w:hAnsiTheme="majorHAnsi"/>
              </w:rPr>
              <w:t>Undang-Undang Nomor 7 Tahun 1989 Tentang Peradilan Agama</w:t>
            </w:r>
            <w:r w:rsidRPr="005B37FC">
              <w:rPr>
                <w:rFonts w:asciiTheme="majorHAnsi" w:hAnsiTheme="majorHAnsi"/>
              </w:rPr>
              <w:t>;</w:t>
            </w: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Keputusan Ketua Mahkamah Agung RI Nomor: KMA/001/SK/1991 tentang Pola Pembinaan dan Pengendalian Administrasi Perkara;</w:t>
            </w: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Keputusan Ketua Mahkamah Agung RI Nomor: KMA/004/SK/1992 tentang Kepaniteraan Pengadilan Agama;</w:t>
            </w: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Keputusan Ketua Mahkamah Agung RI Nomor: KMA/032/SK/IV/2006 tentang Pemberlakuan Buku II Pedoman Pelaksanaan Tugas dan Administrasi Peradilan;</w:t>
            </w: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Surat Edaran Mahkamah Agung RI Nomor: 002 tahun 2012 tentang Pedoman Penyusunan Standar Operasional Prosedur di Lingkungan Mahkamah Agung dan Peradilan yang berada dibawahnya;</w:t>
            </w:r>
          </w:p>
          <w:p w:rsidR="007F4177"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Peraturan Mahkamah Agung RI Nomor: 07 Tahun 2016 tentang Penegakan Disiplin Kerja Hakim pada Mahkamah Agung dan Badan Peradilan yang berada di bawahnya</w:t>
            </w:r>
            <w:r w:rsidR="00F409A0" w:rsidRPr="00F409A0">
              <w:rPr>
                <w:rFonts w:asciiTheme="majorHAnsi" w:hAnsiTheme="majorHAnsi"/>
              </w:rPr>
              <w:t>.</w:t>
            </w:r>
          </w:p>
          <w:p w:rsidR="005E572A" w:rsidRPr="005E572A" w:rsidRDefault="005E572A" w:rsidP="005E572A">
            <w:pPr>
              <w:pStyle w:val="ListParagraph"/>
              <w:spacing w:line="360" w:lineRule="auto"/>
              <w:ind w:left="360"/>
              <w:jc w:val="both"/>
              <w:rPr>
                <w:rFonts w:asciiTheme="majorHAnsi" w:hAnsiTheme="majorHAnsi"/>
              </w:rPr>
            </w:pPr>
          </w:p>
        </w:tc>
      </w:tr>
      <w:tr w:rsidR="003A762B" w:rsidRPr="00F8558F" w:rsidTr="005A721B">
        <w:tc>
          <w:tcPr>
            <w:tcW w:w="9003" w:type="dxa"/>
            <w:gridSpan w:val="3"/>
          </w:tcPr>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lastRenderedPageBreak/>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905C1D" w:rsidRDefault="00F409A0" w:rsidP="008F54F8">
            <w:pPr>
              <w:tabs>
                <w:tab w:val="left" w:pos="1418"/>
                <w:tab w:val="left" w:pos="1701"/>
                <w:tab w:val="left" w:pos="1985"/>
              </w:tabs>
              <w:spacing w:after="240" w:line="360" w:lineRule="auto"/>
              <w:jc w:val="both"/>
              <w:rPr>
                <w:rFonts w:asciiTheme="majorHAnsi" w:eastAsia="Malgun Gothic Semilight" w:hAnsiTheme="majorHAnsi" w:cs="Times New Roman"/>
                <w:b/>
              </w:rPr>
            </w:pPr>
            <w:r w:rsidRPr="00F409A0">
              <w:rPr>
                <w:rFonts w:asciiTheme="majorHAnsi" w:hAnsiTheme="majorHAnsi" w:cs="Arial"/>
                <w:b/>
                <w:bCs/>
                <w:szCs w:val="18"/>
              </w:rPr>
              <w:t xml:space="preserve">SURAT KEPUTUSAN KETUA PENGADILAN AGAMA SELAYAR TENTANG PENUNJUKAN </w:t>
            </w:r>
            <w:r w:rsidR="005E572A">
              <w:rPr>
                <w:rFonts w:asciiTheme="majorHAnsi" w:hAnsiTheme="majorHAnsi" w:cs="Arial"/>
                <w:b/>
                <w:bCs/>
                <w:szCs w:val="18"/>
              </w:rPr>
              <w:t>HAKIM PENGAWAS BIDANG</w:t>
            </w:r>
            <w:r w:rsidRPr="00F409A0">
              <w:rPr>
                <w:rFonts w:asciiTheme="majorHAnsi" w:hAnsiTheme="majorHAnsi" w:cs="Arial"/>
                <w:b/>
                <w:bCs/>
                <w:szCs w:val="18"/>
              </w:rPr>
              <w:t xml:space="preserve"> PADA PENGADILAN AGAMA SELAYAR</w:t>
            </w:r>
            <w:r w:rsidR="005E572A">
              <w:rPr>
                <w:rFonts w:asciiTheme="majorHAnsi" w:hAnsiTheme="majorHAnsi" w:cs="Arial"/>
                <w:b/>
                <w:bCs/>
                <w:szCs w:val="18"/>
              </w:rPr>
              <w:t xml:space="preserve"> TAHUN 2020</w:t>
            </w:r>
            <w:r w:rsidR="005B37FC" w:rsidRPr="005B37FC">
              <w:rPr>
                <w:rFonts w:asciiTheme="majorHAnsi" w:hAnsiTheme="majorHAnsi" w:cs="Arial"/>
                <w:b/>
                <w:bCs/>
                <w:szCs w:val="18"/>
              </w:rPr>
              <w:t>;</w:t>
            </w:r>
          </w:p>
        </w:tc>
      </w:tr>
      <w:tr w:rsidR="008F54F8" w:rsidRPr="00F8558F" w:rsidTr="00806155">
        <w:tc>
          <w:tcPr>
            <w:tcW w:w="1717" w:type="dxa"/>
          </w:tcPr>
          <w:p w:rsidR="008F54F8" w:rsidRPr="007F4177" w:rsidRDefault="008F54F8" w:rsidP="006D646A">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8F54F8" w:rsidRPr="007F4177" w:rsidRDefault="008F54F8" w:rsidP="007F4177">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8F54F8" w:rsidRPr="00877400" w:rsidRDefault="008F54F8" w:rsidP="000D602C">
            <w:pPr>
              <w:tabs>
                <w:tab w:val="left" w:pos="1418"/>
                <w:tab w:val="left" w:pos="1701"/>
                <w:tab w:val="left" w:pos="1985"/>
              </w:tabs>
              <w:spacing w:after="120" w:line="360" w:lineRule="auto"/>
              <w:jc w:val="both"/>
              <w:rPr>
                <w:rFonts w:asciiTheme="majorHAnsi" w:hAnsiTheme="majorHAnsi"/>
              </w:rPr>
            </w:pPr>
            <w:r>
              <w:rPr>
                <w:rFonts w:asciiTheme="majorHAnsi" w:hAnsiTheme="majorHAnsi"/>
              </w:rPr>
              <w:t xml:space="preserve">Mencabut Surat Keputusan Ketua Pengadilan Agama Selayar Nomor </w:t>
            </w:r>
            <w:r w:rsidR="00974CED">
              <w:rPr>
                <w:rFonts w:asciiTheme="majorHAnsi" w:hAnsiTheme="majorHAnsi"/>
              </w:rPr>
              <w:t>W20-A17/SK.1</w:t>
            </w:r>
            <w:r w:rsidR="00BF49A8">
              <w:rPr>
                <w:rFonts w:asciiTheme="majorHAnsi" w:hAnsiTheme="majorHAnsi"/>
              </w:rPr>
              <w:t>12</w:t>
            </w:r>
            <w:r w:rsidR="00974CED">
              <w:rPr>
                <w:rFonts w:asciiTheme="majorHAnsi" w:hAnsiTheme="majorHAnsi"/>
              </w:rPr>
              <w:t>/PS.00/</w:t>
            </w:r>
            <w:r w:rsidR="00BF49A8">
              <w:rPr>
                <w:rFonts w:asciiTheme="majorHAnsi" w:hAnsiTheme="majorHAnsi"/>
              </w:rPr>
              <w:t>I</w:t>
            </w:r>
            <w:r w:rsidR="00974CED">
              <w:rPr>
                <w:rFonts w:asciiTheme="majorHAnsi" w:hAnsiTheme="majorHAnsi"/>
              </w:rPr>
              <w:t>/2020</w:t>
            </w:r>
            <w:r>
              <w:rPr>
                <w:rFonts w:asciiTheme="majorHAnsi" w:hAnsiTheme="majorHAnsi"/>
              </w:rPr>
              <w:t xml:space="preserve"> Tanggal 02 Januari 2020 tentang </w:t>
            </w:r>
            <w:r>
              <w:rPr>
                <w:rFonts w:asciiTheme="majorHAnsi" w:eastAsia="Malgun Gothic Semilight" w:hAnsiTheme="majorHAnsi" w:cs="Malgun Gothic Semilight"/>
              </w:rPr>
              <w:t>Penunjukan Hakim Pengawas Bidang</w:t>
            </w:r>
            <w:r w:rsidRPr="00873910">
              <w:rPr>
                <w:rFonts w:asciiTheme="majorHAnsi" w:eastAsia="Malgun Gothic Semilight" w:hAnsiTheme="majorHAnsi" w:cs="Malgun Gothic Semilight"/>
              </w:rPr>
              <w:t xml:space="preserve"> Pengadilan Agama Selayar</w:t>
            </w:r>
            <w:r>
              <w:rPr>
                <w:rFonts w:asciiTheme="majorHAnsi" w:eastAsia="Malgun Gothic Semilight" w:hAnsiTheme="majorHAnsi" w:cs="Malgun Gothic Semilight"/>
              </w:rPr>
              <w:t xml:space="preserve"> Tahun 2020</w:t>
            </w:r>
            <w:r w:rsidRPr="00873910">
              <w:rPr>
                <w:rFonts w:asciiTheme="majorHAnsi" w:hAnsiTheme="majorHAnsi" w:cs="Arial"/>
                <w:bCs/>
                <w:szCs w:val="18"/>
              </w:rPr>
              <w:t>;</w:t>
            </w:r>
          </w:p>
        </w:tc>
      </w:tr>
      <w:tr w:rsidR="008F54F8" w:rsidRPr="00F8558F" w:rsidTr="00806155">
        <w:tc>
          <w:tcPr>
            <w:tcW w:w="1717" w:type="dxa"/>
          </w:tcPr>
          <w:p w:rsidR="008F54F8" w:rsidRDefault="008F54F8" w:rsidP="006D646A">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8F54F8" w:rsidRPr="007F4177" w:rsidRDefault="008F54F8"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8F54F8" w:rsidRPr="00566B2C" w:rsidRDefault="008F54F8" w:rsidP="007A1085">
            <w:pPr>
              <w:tabs>
                <w:tab w:val="left" w:pos="1418"/>
                <w:tab w:val="left" w:pos="1701"/>
                <w:tab w:val="left" w:pos="1985"/>
              </w:tabs>
              <w:spacing w:after="120" w:line="360" w:lineRule="auto"/>
              <w:jc w:val="both"/>
              <w:rPr>
                <w:rFonts w:asciiTheme="majorHAnsi" w:hAnsiTheme="majorHAnsi"/>
              </w:rPr>
            </w:pPr>
            <w:r w:rsidRPr="00877400">
              <w:rPr>
                <w:rFonts w:asciiTheme="majorHAnsi" w:hAnsiTheme="majorHAnsi"/>
              </w:rPr>
              <w:t>Surat Keputusan Ketua Pengadilan Agama Selayar tentang Penunjukan Hakim Pengawas Bidang dengan susunan sebagaimana tersebut dalam lampiran surat keputusan ini;</w:t>
            </w:r>
          </w:p>
        </w:tc>
      </w:tr>
      <w:tr w:rsidR="008F54F8" w:rsidRPr="00F8558F" w:rsidTr="00806155">
        <w:tc>
          <w:tcPr>
            <w:tcW w:w="1717" w:type="dxa"/>
          </w:tcPr>
          <w:p w:rsidR="008F54F8" w:rsidRDefault="008F54F8" w:rsidP="006D646A">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8F54F8" w:rsidRDefault="008F54F8"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8F54F8" w:rsidRDefault="008F54F8" w:rsidP="007A1085">
            <w:pPr>
              <w:tabs>
                <w:tab w:val="left" w:pos="1418"/>
                <w:tab w:val="left" w:pos="1701"/>
                <w:tab w:val="left" w:pos="1985"/>
              </w:tabs>
              <w:spacing w:after="120" w:line="360" w:lineRule="auto"/>
              <w:jc w:val="both"/>
              <w:rPr>
                <w:rFonts w:asciiTheme="majorHAnsi" w:hAnsiTheme="majorHAnsi"/>
              </w:rPr>
            </w:pPr>
            <w:r w:rsidRPr="00877400">
              <w:rPr>
                <w:rFonts w:asciiTheme="majorHAnsi" w:hAnsiTheme="majorHAnsi"/>
              </w:rPr>
              <w:t>Melaksanakan pengawasan per tiga bulan yaitu pada bulan Maret, Juni, September dan Desember;</w:t>
            </w:r>
          </w:p>
          <w:p w:rsidR="006C17EA" w:rsidRPr="00877400" w:rsidRDefault="006C17EA" w:rsidP="007A1085">
            <w:pPr>
              <w:tabs>
                <w:tab w:val="left" w:pos="1418"/>
                <w:tab w:val="left" w:pos="1701"/>
                <w:tab w:val="left" w:pos="1985"/>
              </w:tabs>
              <w:spacing w:after="120" w:line="360" w:lineRule="auto"/>
              <w:jc w:val="both"/>
              <w:rPr>
                <w:rFonts w:asciiTheme="majorHAnsi" w:hAnsiTheme="majorHAnsi" w:cs="Arial"/>
                <w:szCs w:val="18"/>
              </w:rPr>
            </w:pPr>
          </w:p>
        </w:tc>
      </w:tr>
      <w:tr w:rsidR="008F54F8" w:rsidRPr="00F8558F" w:rsidTr="00806155">
        <w:tc>
          <w:tcPr>
            <w:tcW w:w="1717" w:type="dxa"/>
          </w:tcPr>
          <w:p w:rsidR="008F54F8" w:rsidRDefault="008F54F8" w:rsidP="006D646A">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Keempat</w:t>
            </w:r>
          </w:p>
        </w:tc>
        <w:tc>
          <w:tcPr>
            <w:tcW w:w="282" w:type="dxa"/>
          </w:tcPr>
          <w:p w:rsidR="008F54F8" w:rsidRDefault="008F54F8"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8F54F8" w:rsidRPr="00877400" w:rsidRDefault="008F54F8" w:rsidP="007A1085">
            <w:pPr>
              <w:tabs>
                <w:tab w:val="left" w:pos="1418"/>
                <w:tab w:val="left" w:pos="1701"/>
                <w:tab w:val="left" w:pos="1985"/>
              </w:tabs>
              <w:spacing w:after="120" w:line="360" w:lineRule="auto"/>
              <w:jc w:val="both"/>
              <w:rPr>
                <w:rFonts w:asciiTheme="majorHAnsi" w:hAnsiTheme="majorHAnsi"/>
              </w:rPr>
            </w:pPr>
            <w:r w:rsidRPr="00877400">
              <w:rPr>
                <w:rFonts w:asciiTheme="majorHAnsi" w:hAnsiTheme="majorHAnsi"/>
              </w:rPr>
              <w:t>Melaksanakan surat keputusan ini dengan penuh rasa tanggung jawab dan melaporkan hasil pengawasannya kepada Ketua Pengadilan Agama Selayar;</w:t>
            </w:r>
          </w:p>
        </w:tc>
      </w:tr>
      <w:tr w:rsidR="008F54F8" w:rsidRPr="00F8558F" w:rsidTr="00806155">
        <w:tc>
          <w:tcPr>
            <w:tcW w:w="1717" w:type="dxa"/>
          </w:tcPr>
          <w:p w:rsidR="008F54F8" w:rsidRDefault="001D77B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Kelima</w:t>
            </w:r>
          </w:p>
        </w:tc>
        <w:tc>
          <w:tcPr>
            <w:tcW w:w="282" w:type="dxa"/>
          </w:tcPr>
          <w:p w:rsidR="008F54F8" w:rsidRDefault="008F54F8"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8F54F8" w:rsidRPr="00877400" w:rsidRDefault="008F54F8" w:rsidP="00877400">
            <w:pPr>
              <w:tabs>
                <w:tab w:val="left" w:pos="1418"/>
                <w:tab w:val="left" w:pos="1701"/>
                <w:tab w:val="left" w:pos="1985"/>
              </w:tabs>
              <w:spacing w:after="120" w:line="360" w:lineRule="auto"/>
              <w:jc w:val="both"/>
              <w:rPr>
                <w:rFonts w:asciiTheme="majorHAnsi" w:hAnsiTheme="majorHAnsi"/>
              </w:rPr>
            </w:pPr>
            <w:r w:rsidRPr="00877400">
              <w:rPr>
                <w:rFonts w:asciiTheme="majorHAnsi" w:hAnsiTheme="majorHAnsi"/>
              </w:rPr>
              <w:t>Surat Keputusan ini berlaku sejak tanggal ditetapkan dengan ketentuan bahwa segala sesuatu akan diubah dan diperbaiki sebagaimana mestinya apabila dikemudian hari terdapat kekeliruan.</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8F54F8" w:rsidP="00EA6F8B">
            <w:pPr>
              <w:jc w:val="both"/>
              <w:rPr>
                <w:rFonts w:asciiTheme="majorHAnsi" w:hAnsiTheme="majorHAnsi"/>
              </w:rPr>
            </w:pPr>
            <w:r>
              <w:rPr>
                <w:rFonts w:asciiTheme="majorHAnsi" w:hAnsiTheme="majorHAnsi"/>
              </w:rPr>
              <w:t>20 April</w:t>
            </w:r>
            <w:r w:rsidR="007F4177" w:rsidRPr="00F975A6">
              <w:rPr>
                <w:rFonts w:asciiTheme="majorHAnsi" w:hAnsiTheme="majorHAnsi"/>
              </w:rPr>
              <w:t xml:space="preserve"> </w:t>
            </w:r>
            <w:r w:rsidR="007F4177">
              <w:rPr>
                <w:rFonts w:asciiTheme="majorHAnsi" w:hAnsiTheme="majorHAnsi"/>
              </w:rPr>
              <w:t>2020</w:t>
            </w:r>
          </w:p>
        </w:tc>
      </w:tr>
      <w:tr w:rsidR="007F4177" w:rsidRPr="00F975A6" w:rsidTr="00EA6F8B">
        <w:trPr>
          <w:jc w:val="right"/>
        </w:trPr>
        <w:tc>
          <w:tcPr>
            <w:tcW w:w="3794" w:type="dxa"/>
            <w:gridSpan w:val="3"/>
          </w:tcPr>
          <w:p w:rsidR="007F4177" w:rsidRPr="00F975A6" w:rsidRDefault="005B37FC" w:rsidP="00EA6F8B">
            <w:pPr>
              <w:jc w:val="both"/>
              <w:rPr>
                <w:rFonts w:asciiTheme="majorHAnsi" w:hAnsiTheme="majorHAnsi"/>
              </w:rPr>
            </w:pPr>
            <w:r>
              <w:rPr>
                <w:rFonts w:asciiTheme="majorHAnsi" w:hAnsiTheme="majorHAnsi"/>
              </w:rPr>
              <w:t>Ketua</w:t>
            </w:r>
            <w:r w:rsidR="007F4177" w:rsidRPr="00F975A6">
              <w:rPr>
                <w:rFonts w:asciiTheme="majorHAnsi" w:hAnsiTheme="majorHAnsi"/>
              </w:rPr>
              <w:t>,</w:t>
            </w:r>
          </w:p>
          <w:p w:rsidR="007F4177" w:rsidRPr="00F975A6" w:rsidRDefault="00146FD3" w:rsidP="00EA6F8B">
            <w:pPr>
              <w:jc w:val="both"/>
              <w:rPr>
                <w:rFonts w:asciiTheme="majorHAnsi" w:hAnsiTheme="majorHAnsi"/>
                <w:b/>
                <w:u w:val="single"/>
              </w:rPr>
            </w:pPr>
            <w:r>
              <w:rPr>
                <w:rFonts w:asciiTheme="majorHAnsi" w:hAnsiTheme="majorHAnsi"/>
                <w:b/>
                <w:noProof/>
                <w:u w:val="single"/>
                <w:lang w:eastAsia="id-ID"/>
              </w:rPr>
              <w:drawing>
                <wp:anchor distT="0" distB="0" distL="114300" distR="114300" simplePos="0" relativeHeight="251660288" behindDoc="0" locked="0" layoutInCell="1" allowOverlap="1" wp14:anchorId="30BA5B14" wp14:editId="7844E51B">
                  <wp:simplePos x="0" y="0"/>
                  <wp:positionH relativeFrom="column">
                    <wp:posOffset>-78740</wp:posOffset>
                  </wp:positionH>
                  <wp:positionV relativeFrom="paragraph">
                    <wp:posOffset>1270</wp:posOffset>
                  </wp:positionV>
                  <wp:extent cx="1285240" cy="874395"/>
                  <wp:effectExtent l="0" t="0" r="0" b="0"/>
                  <wp:wrapNone/>
                  <wp:docPr id="1" name="Picture 1" descr="D:\ttd_ke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td_ketua.png"/>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285240" cy="874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A1085" w:rsidP="00EA6F8B">
            <w:pPr>
              <w:jc w:val="both"/>
              <w:rPr>
                <w:rFonts w:asciiTheme="majorHAnsi" w:hAnsiTheme="majorHAnsi"/>
                <w:b/>
                <w:u w:val="single"/>
              </w:rPr>
            </w:pPr>
            <w:r>
              <w:rPr>
                <w:rFonts w:asciiTheme="majorHAnsi" w:hAnsiTheme="majorHAnsi"/>
                <w:b/>
                <w:u w:val="single"/>
              </w:rPr>
              <w:t>Ahmad Jamil</w:t>
            </w:r>
            <w:r w:rsidR="005B37FC">
              <w:rPr>
                <w:rFonts w:asciiTheme="majorHAnsi" w:hAnsiTheme="majorHAnsi"/>
                <w:b/>
                <w:u w:val="single"/>
              </w:rPr>
              <w:t>, S.Ag</w:t>
            </w:r>
            <w:r w:rsidR="005D7018">
              <w:rPr>
                <w:rFonts w:asciiTheme="majorHAnsi" w:hAnsiTheme="majorHAnsi"/>
                <w:b/>
                <w:u w:val="single"/>
              </w:rPr>
              <w:t>.</w:t>
            </w:r>
          </w:p>
          <w:p w:rsidR="007F4177" w:rsidRPr="00C95C25" w:rsidRDefault="007F4177" w:rsidP="007A1085">
            <w:pPr>
              <w:jc w:val="both"/>
              <w:rPr>
                <w:rFonts w:asciiTheme="majorHAnsi" w:hAnsiTheme="majorHAnsi"/>
              </w:rPr>
            </w:pPr>
            <w:r w:rsidRPr="00F975A6">
              <w:rPr>
                <w:rFonts w:asciiTheme="majorHAnsi" w:hAnsiTheme="majorHAnsi"/>
              </w:rPr>
              <w:t xml:space="preserve">NIP. </w:t>
            </w:r>
            <w:r w:rsidR="005B37FC">
              <w:rPr>
                <w:rFonts w:asciiTheme="majorHAnsi" w:hAnsiTheme="majorHAnsi"/>
              </w:rPr>
              <w:t xml:space="preserve"> 197</w:t>
            </w:r>
            <w:r w:rsidR="007A1085">
              <w:rPr>
                <w:rFonts w:asciiTheme="majorHAnsi" w:hAnsiTheme="majorHAnsi"/>
              </w:rPr>
              <w:t>410</w:t>
            </w:r>
            <w:r w:rsidR="005B37FC">
              <w:rPr>
                <w:rFonts w:asciiTheme="majorHAnsi" w:hAnsiTheme="majorHAnsi"/>
              </w:rPr>
              <w:t xml:space="preserve">12 </w:t>
            </w:r>
            <w:r w:rsidR="007A1085">
              <w:rPr>
                <w:rFonts w:asciiTheme="majorHAnsi" w:hAnsiTheme="majorHAnsi"/>
              </w:rPr>
              <w:t>200502</w:t>
            </w:r>
            <w:r w:rsidR="005B37FC">
              <w:rPr>
                <w:rFonts w:asciiTheme="majorHAnsi" w:hAnsiTheme="majorHAnsi"/>
              </w:rPr>
              <w:t xml:space="preserve"> </w:t>
            </w:r>
            <w:r w:rsidR="007A1085">
              <w:rPr>
                <w:rFonts w:asciiTheme="majorHAnsi" w:hAnsiTheme="majorHAnsi"/>
              </w:rPr>
              <w:t>1</w:t>
            </w:r>
            <w:r w:rsidR="005B37FC">
              <w:rPr>
                <w:rFonts w:asciiTheme="majorHAnsi" w:hAnsiTheme="majorHAnsi"/>
              </w:rPr>
              <w:t xml:space="preserve"> 00</w:t>
            </w:r>
            <w:r w:rsidR="007A1085">
              <w:rPr>
                <w:rFonts w:asciiTheme="majorHAnsi" w:hAnsiTheme="majorHAnsi"/>
              </w:rPr>
              <w:t>2</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74877">
      <w:pPr>
        <w:pStyle w:val="ListParagraph"/>
        <w:numPr>
          <w:ilvl w:val="0"/>
          <w:numId w:val="3"/>
        </w:numPr>
        <w:spacing w:after="0"/>
        <w:ind w:left="270" w:hanging="270"/>
        <w:rPr>
          <w:rFonts w:ascii="Cambria" w:hAnsi="Cambria"/>
          <w:sz w:val="18"/>
        </w:rPr>
      </w:pPr>
      <w:r w:rsidRPr="007F4177">
        <w:rPr>
          <w:rFonts w:ascii="Cambria" w:hAnsi="Cambria"/>
          <w:sz w:val="18"/>
        </w:rPr>
        <w:t>Ketua Pengadilan Tinggi Agama Makassar;</w:t>
      </w:r>
    </w:p>
    <w:p w:rsidR="007F4177" w:rsidRDefault="007F4177" w:rsidP="00774877">
      <w:pPr>
        <w:pStyle w:val="ListParagraph"/>
        <w:numPr>
          <w:ilvl w:val="0"/>
          <w:numId w:val="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6C17EA" w:rsidRDefault="006C17EA">
      <w:pPr>
        <w:rPr>
          <w:rFonts w:asciiTheme="majorHAnsi" w:hAnsiTheme="majorHAnsi" w:cs="Times New Roman"/>
          <w:sz w:val="16"/>
        </w:rPr>
      </w:pPr>
      <w:r>
        <w:rPr>
          <w:rFonts w:asciiTheme="majorHAnsi" w:hAnsiTheme="majorHAnsi" w:cs="Times New Roman"/>
          <w:sz w:val="16"/>
        </w:rPr>
        <w:br w:type="page"/>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sidR="008061AD">
        <w:rPr>
          <w:rFonts w:asciiTheme="majorHAnsi" w:hAnsiTheme="majorHAnsi" w:cs="Times New Roman"/>
          <w:sz w:val="16"/>
        </w:rPr>
        <w:t>76</w:t>
      </w:r>
      <w:r w:rsidRPr="00544654">
        <w:rPr>
          <w:rFonts w:asciiTheme="majorHAnsi" w:hAnsiTheme="majorHAnsi" w:cs="Times New Roman"/>
          <w:sz w:val="16"/>
        </w:rPr>
        <w:t>/</w:t>
      </w:r>
      <w:r w:rsidR="008061AD">
        <w:rPr>
          <w:rFonts w:asciiTheme="majorHAnsi" w:hAnsiTheme="majorHAnsi" w:cs="Times New Roman"/>
          <w:sz w:val="16"/>
        </w:rPr>
        <w:t>PS</w:t>
      </w:r>
      <w:r w:rsidRPr="00544654">
        <w:rPr>
          <w:rFonts w:asciiTheme="majorHAnsi" w:hAnsiTheme="majorHAnsi" w:cs="Times New Roman"/>
          <w:sz w:val="16"/>
        </w:rPr>
        <w:t>.0</w:t>
      </w:r>
      <w:r w:rsidR="008061AD">
        <w:rPr>
          <w:rFonts w:asciiTheme="majorHAnsi" w:hAnsiTheme="majorHAnsi" w:cs="Times New Roman"/>
          <w:sz w:val="16"/>
        </w:rPr>
        <w:t>0</w:t>
      </w:r>
      <w:r w:rsidRPr="00544654">
        <w:rPr>
          <w:rFonts w:asciiTheme="majorHAnsi" w:hAnsiTheme="majorHAnsi" w:cs="Times New Roman"/>
          <w:sz w:val="16"/>
        </w:rPr>
        <w:t>/I</w:t>
      </w:r>
      <w:r w:rsidR="008061AD">
        <w:rPr>
          <w:rFonts w:asciiTheme="majorHAnsi" w:hAnsiTheme="majorHAnsi" w:cs="Times New Roman"/>
          <w:sz w:val="16"/>
        </w:rPr>
        <w:t>V</w:t>
      </w:r>
      <w:r w:rsidRPr="00544654">
        <w:rPr>
          <w:rFonts w:asciiTheme="majorHAnsi" w:hAnsiTheme="majorHAnsi" w:cs="Times New Roman"/>
          <w:sz w:val="16"/>
        </w:rPr>
        <w:t>/2020</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sidR="008F54F8">
        <w:rPr>
          <w:rFonts w:asciiTheme="majorHAnsi" w:hAnsiTheme="majorHAnsi" w:cs="Times New Roman"/>
          <w:sz w:val="16"/>
        </w:rPr>
        <w:t>20 April</w:t>
      </w:r>
      <w:r w:rsidRPr="00544654">
        <w:rPr>
          <w:rFonts w:asciiTheme="majorHAnsi" w:hAnsiTheme="majorHAnsi" w:cs="Times New Roman"/>
          <w:sz w:val="16"/>
        </w:rPr>
        <w:t xml:space="preserve"> 2020</w:t>
      </w:r>
    </w:p>
    <w:p w:rsidR="007F4177" w:rsidRDefault="007F4177" w:rsidP="007F4177">
      <w:pPr>
        <w:autoSpaceDE w:val="0"/>
        <w:autoSpaceDN w:val="0"/>
        <w:adjustRightInd w:val="0"/>
        <w:spacing w:after="0" w:line="360" w:lineRule="auto"/>
        <w:rPr>
          <w:rFonts w:asciiTheme="majorHAnsi" w:hAnsiTheme="majorHAnsi" w:cs="Times New Roman"/>
        </w:rPr>
      </w:pPr>
    </w:p>
    <w:p w:rsidR="009E4A72" w:rsidRDefault="009E4A72" w:rsidP="009E4A72">
      <w:pPr>
        <w:spacing w:after="0" w:line="240" w:lineRule="auto"/>
        <w:jc w:val="center"/>
        <w:rPr>
          <w:rFonts w:ascii="Arial" w:hAnsi="Arial" w:cs="Arial"/>
          <w:b/>
          <w:bCs/>
          <w:sz w:val="20"/>
          <w:szCs w:val="20"/>
        </w:rPr>
      </w:pPr>
    </w:p>
    <w:p w:rsidR="00F409A0" w:rsidRDefault="00F409A0" w:rsidP="000D61F4">
      <w:pPr>
        <w:spacing w:after="0" w:line="240" w:lineRule="auto"/>
        <w:jc w:val="center"/>
        <w:rPr>
          <w:rFonts w:ascii="Arial" w:hAnsi="Arial" w:cs="Arial"/>
          <w:b/>
          <w:bCs/>
          <w:sz w:val="20"/>
          <w:szCs w:val="20"/>
        </w:rPr>
      </w:pPr>
      <w:r w:rsidRPr="001B5AE1">
        <w:rPr>
          <w:rFonts w:ascii="Arial" w:hAnsi="Arial" w:cs="Arial"/>
          <w:b/>
          <w:bCs/>
          <w:sz w:val="20"/>
          <w:szCs w:val="20"/>
        </w:rPr>
        <w:t xml:space="preserve">DAFTAR </w:t>
      </w:r>
      <w:r w:rsidR="000D61F4">
        <w:rPr>
          <w:rFonts w:ascii="Arial" w:hAnsi="Arial" w:cs="Arial"/>
          <w:b/>
          <w:bCs/>
          <w:sz w:val="20"/>
          <w:szCs w:val="20"/>
        </w:rPr>
        <w:t>HAKIM PENGAWAS BIDANG</w:t>
      </w:r>
    </w:p>
    <w:p w:rsidR="00F409A0" w:rsidRDefault="00F409A0" w:rsidP="000D61F4">
      <w:pPr>
        <w:spacing w:after="0" w:line="240" w:lineRule="auto"/>
        <w:jc w:val="center"/>
        <w:rPr>
          <w:rFonts w:ascii="Arial" w:hAnsi="Arial" w:cs="Arial"/>
          <w:b/>
          <w:bCs/>
          <w:sz w:val="20"/>
          <w:szCs w:val="20"/>
        </w:rPr>
      </w:pPr>
      <w:r w:rsidRPr="001B5AE1">
        <w:rPr>
          <w:rFonts w:ascii="Arial" w:hAnsi="Arial" w:cs="Arial"/>
          <w:b/>
          <w:bCs/>
          <w:sz w:val="20"/>
          <w:szCs w:val="20"/>
        </w:rPr>
        <w:t>PADA PENGADILAN AGAMA SELAYAR</w:t>
      </w:r>
    </w:p>
    <w:p w:rsidR="000D61F4" w:rsidRDefault="000D61F4" w:rsidP="000D61F4">
      <w:pPr>
        <w:spacing w:after="0" w:line="240" w:lineRule="auto"/>
        <w:jc w:val="center"/>
        <w:rPr>
          <w:rFonts w:ascii="Arial" w:hAnsi="Arial" w:cs="Arial"/>
          <w:b/>
          <w:bCs/>
          <w:sz w:val="20"/>
          <w:szCs w:val="20"/>
        </w:rPr>
      </w:pPr>
      <w:r>
        <w:rPr>
          <w:rFonts w:ascii="Arial" w:hAnsi="Arial" w:cs="Arial"/>
          <w:b/>
          <w:bCs/>
          <w:sz w:val="20"/>
          <w:szCs w:val="20"/>
        </w:rPr>
        <w:t>TAHUN ANGGARAN 2020</w:t>
      </w:r>
    </w:p>
    <w:p w:rsidR="000D61F4" w:rsidRDefault="000D61F4" w:rsidP="000D61F4">
      <w:pPr>
        <w:spacing w:after="0" w:line="240" w:lineRule="auto"/>
        <w:jc w:val="center"/>
        <w:rPr>
          <w:rFonts w:ascii="Arial" w:hAnsi="Arial" w:cs="Arial"/>
          <w:b/>
          <w:bCs/>
          <w:sz w:val="20"/>
          <w:szCs w:val="20"/>
        </w:rPr>
      </w:pPr>
    </w:p>
    <w:tbl>
      <w:tblPr>
        <w:tblW w:w="867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420"/>
        <w:gridCol w:w="1690"/>
        <w:gridCol w:w="2848"/>
        <w:gridCol w:w="1155"/>
      </w:tblGrid>
      <w:tr w:rsidR="000D61F4" w:rsidRPr="000D61F4" w:rsidTr="008F54F8">
        <w:trPr>
          <w:trHeight w:val="764"/>
        </w:trPr>
        <w:tc>
          <w:tcPr>
            <w:tcW w:w="557"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NO</w:t>
            </w:r>
          </w:p>
        </w:tc>
        <w:tc>
          <w:tcPr>
            <w:tcW w:w="2420"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NAMA</w:t>
            </w:r>
          </w:p>
        </w:tc>
        <w:tc>
          <w:tcPr>
            <w:tcW w:w="1690"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JABATAN</w:t>
            </w:r>
          </w:p>
        </w:tc>
        <w:tc>
          <w:tcPr>
            <w:tcW w:w="2848"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HAKIM PENGAWAS</w:t>
            </w:r>
          </w:p>
        </w:tc>
        <w:tc>
          <w:tcPr>
            <w:tcW w:w="1155"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KET.</w:t>
            </w:r>
          </w:p>
        </w:tc>
      </w:tr>
      <w:tr w:rsidR="000D61F4" w:rsidRPr="000D61F4" w:rsidTr="008F54F8">
        <w:trPr>
          <w:trHeight w:val="703"/>
        </w:trPr>
        <w:tc>
          <w:tcPr>
            <w:tcW w:w="557"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1.</w:t>
            </w:r>
          </w:p>
        </w:tc>
        <w:tc>
          <w:tcPr>
            <w:tcW w:w="2420"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Mustamin, Lc.</w:t>
            </w:r>
          </w:p>
        </w:tc>
        <w:tc>
          <w:tcPr>
            <w:tcW w:w="1690"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Wakil Ketua</w:t>
            </w:r>
          </w:p>
        </w:tc>
        <w:tc>
          <w:tcPr>
            <w:tcW w:w="2848" w:type="dxa"/>
            <w:vAlign w:val="center"/>
          </w:tcPr>
          <w:p w:rsidR="000D61F4" w:rsidRPr="000D61F4" w:rsidRDefault="000D61F4" w:rsidP="008F54F8">
            <w:pPr>
              <w:spacing w:after="0" w:line="240" w:lineRule="auto"/>
              <w:jc w:val="both"/>
              <w:rPr>
                <w:rFonts w:asciiTheme="majorHAnsi" w:hAnsiTheme="majorHAnsi" w:cs="Arial"/>
              </w:rPr>
            </w:pPr>
            <w:r w:rsidRPr="000D61F4">
              <w:rPr>
                <w:rFonts w:asciiTheme="majorHAnsi" w:hAnsiTheme="majorHAnsi" w:cs="Arial"/>
              </w:rPr>
              <w:t>Koordinator Pengawas</w:t>
            </w:r>
          </w:p>
          <w:p w:rsidR="000D61F4" w:rsidRPr="000D61F4" w:rsidRDefault="000D61F4" w:rsidP="008F54F8">
            <w:pPr>
              <w:spacing w:after="0" w:line="240" w:lineRule="auto"/>
              <w:ind w:left="34"/>
              <w:jc w:val="both"/>
              <w:rPr>
                <w:rFonts w:asciiTheme="majorHAnsi" w:hAnsiTheme="majorHAnsi" w:cs="Arial"/>
              </w:rPr>
            </w:pPr>
          </w:p>
        </w:tc>
        <w:tc>
          <w:tcPr>
            <w:tcW w:w="1155" w:type="dxa"/>
            <w:vAlign w:val="center"/>
          </w:tcPr>
          <w:p w:rsidR="000D61F4" w:rsidRPr="000D61F4" w:rsidRDefault="000D61F4" w:rsidP="007A2C74">
            <w:pPr>
              <w:ind w:left="163"/>
              <w:jc w:val="both"/>
              <w:rPr>
                <w:rFonts w:asciiTheme="majorHAnsi" w:hAnsiTheme="majorHAnsi" w:cs="Arial"/>
              </w:rPr>
            </w:pPr>
          </w:p>
        </w:tc>
      </w:tr>
      <w:tr w:rsidR="000D61F4" w:rsidRPr="000D61F4" w:rsidTr="008F54F8">
        <w:trPr>
          <w:trHeight w:val="1111"/>
        </w:trPr>
        <w:tc>
          <w:tcPr>
            <w:tcW w:w="557"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2.</w:t>
            </w:r>
          </w:p>
        </w:tc>
        <w:tc>
          <w:tcPr>
            <w:tcW w:w="2420"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Mawir, S.H.I.,M.H.</w:t>
            </w:r>
          </w:p>
        </w:tc>
        <w:tc>
          <w:tcPr>
            <w:tcW w:w="1690"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Hakim Pratama Madya</w:t>
            </w:r>
          </w:p>
        </w:tc>
        <w:tc>
          <w:tcPr>
            <w:tcW w:w="2848" w:type="dxa"/>
            <w:vAlign w:val="center"/>
          </w:tcPr>
          <w:p w:rsidR="000D61F4" w:rsidRPr="000D61F4" w:rsidRDefault="008F54F8" w:rsidP="008F54F8">
            <w:pPr>
              <w:spacing w:after="0" w:line="240" w:lineRule="auto"/>
              <w:jc w:val="both"/>
              <w:rPr>
                <w:rFonts w:asciiTheme="majorHAnsi" w:hAnsiTheme="majorHAnsi" w:cs="Arial"/>
              </w:rPr>
            </w:pPr>
            <w:r w:rsidRPr="000D61F4">
              <w:rPr>
                <w:rFonts w:asciiTheme="majorHAnsi" w:hAnsiTheme="majorHAnsi" w:cs="Arial"/>
              </w:rPr>
              <w:t>Bidang Administrasi Persidangan dan Administrasi Perkara.</w:t>
            </w:r>
          </w:p>
        </w:tc>
        <w:tc>
          <w:tcPr>
            <w:tcW w:w="1155" w:type="dxa"/>
            <w:vAlign w:val="center"/>
          </w:tcPr>
          <w:p w:rsidR="000D61F4" w:rsidRPr="000D61F4" w:rsidRDefault="000D61F4" w:rsidP="007A2C74">
            <w:pPr>
              <w:ind w:left="163"/>
              <w:jc w:val="both"/>
              <w:rPr>
                <w:rFonts w:asciiTheme="majorHAnsi" w:hAnsiTheme="majorHAnsi" w:cs="Arial"/>
              </w:rPr>
            </w:pPr>
            <w:r w:rsidRPr="000D61F4">
              <w:rPr>
                <w:rFonts w:asciiTheme="majorHAnsi" w:hAnsiTheme="majorHAnsi" w:cs="Arial"/>
              </w:rPr>
              <w:t>Anggota</w:t>
            </w:r>
          </w:p>
        </w:tc>
      </w:tr>
      <w:tr w:rsidR="008F54F8" w:rsidRPr="000D61F4" w:rsidTr="008F54F8">
        <w:trPr>
          <w:trHeight w:val="1111"/>
        </w:trPr>
        <w:tc>
          <w:tcPr>
            <w:tcW w:w="557" w:type="dxa"/>
            <w:vAlign w:val="center"/>
          </w:tcPr>
          <w:p w:rsidR="008F54F8" w:rsidRPr="000D61F4" w:rsidRDefault="008F54F8" w:rsidP="007A2C74">
            <w:pPr>
              <w:jc w:val="both"/>
              <w:rPr>
                <w:rFonts w:asciiTheme="majorHAnsi" w:hAnsiTheme="majorHAnsi" w:cs="Arial"/>
              </w:rPr>
            </w:pPr>
            <w:r>
              <w:rPr>
                <w:rFonts w:asciiTheme="majorHAnsi" w:hAnsiTheme="majorHAnsi" w:cs="Arial"/>
              </w:rPr>
              <w:t>3.</w:t>
            </w:r>
          </w:p>
        </w:tc>
        <w:tc>
          <w:tcPr>
            <w:tcW w:w="2420" w:type="dxa"/>
            <w:vAlign w:val="center"/>
          </w:tcPr>
          <w:p w:rsidR="008F54F8" w:rsidRPr="000D61F4" w:rsidRDefault="008F54F8" w:rsidP="008F54F8">
            <w:pPr>
              <w:jc w:val="both"/>
              <w:rPr>
                <w:rFonts w:asciiTheme="majorHAnsi" w:hAnsiTheme="majorHAnsi" w:cs="Arial"/>
              </w:rPr>
            </w:pPr>
            <w:r>
              <w:rPr>
                <w:rFonts w:asciiTheme="majorHAnsi" w:hAnsiTheme="majorHAnsi" w:cs="Arial"/>
              </w:rPr>
              <w:t>Laeli Fajriyah, S.H.I.</w:t>
            </w:r>
          </w:p>
        </w:tc>
        <w:tc>
          <w:tcPr>
            <w:tcW w:w="1690" w:type="dxa"/>
            <w:vAlign w:val="center"/>
          </w:tcPr>
          <w:p w:rsidR="008F54F8" w:rsidRPr="000D61F4" w:rsidRDefault="008F54F8" w:rsidP="007A2C74">
            <w:pPr>
              <w:jc w:val="both"/>
              <w:rPr>
                <w:rFonts w:asciiTheme="majorHAnsi" w:hAnsiTheme="majorHAnsi" w:cs="Arial"/>
              </w:rPr>
            </w:pPr>
            <w:r w:rsidRPr="000D61F4">
              <w:rPr>
                <w:rFonts w:asciiTheme="majorHAnsi" w:hAnsiTheme="majorHAnsi" w:cs="Arial"/>
              </w:rPr>
              <w:t>Hakim Pratama</w:t>
            </w:r>
          </w:p>
        </w:tc>
        <w:tc>
          <w:tcPr>
            <w:tcW w:w="2848" w:type="dxa"/>
            <w:vAlign w:val="center"/>
          </w:tcPr>
          <w:p w:rsidR="008F54F8" w:rsidRPr="000D61F4" w:rsidRDefault="008F54F8" w:rsidP="008F54F8">
            <w:pPr>
              <w:spacing w:after="0" w:line="240" w:lineRule="auto"/>
              <w:jc w:val="both"/>
              <w:rPr>
                <w:rFonts w:asciiTheme="majorHAnsi" w:hAnsiTheme="majorHAnsi" w:cs="Arial"/>
              </w:rPr>
            </w:pPr>
            <w:r w:rsidRPr="000D61F4">
              <w:rPr>
                <w:rFonts w:asciiTheme="majorHAnsi" w:hAnsiTheme="majorHAnsi" w:cs="Arial"/>
              </w:rPr>
              <w:t>Bidang Evaluasi dan Penyelenggaraan Manajemen Peradilan, Kepemimpinan, Kinerja Lembaga Peradilan dan Kualitas Pelayanan Publik.</w:t>
            </w:r>
          </w:p>
        </w:tc>
        <w:tc>
          <w:tcPr>
            <w:tcW w:w="1155" w:type="dxa"/>
            <w:vAlign w:val="center"/>
          </w:tcPr>
          <w:p w:rsidR="008F54F8" w:rsidRPr="000D61F4" w:rsidRDefault="008F54F8" w:rsidP="007A2C74">
            <w:pPr>
              <w:ind w:left="163"/>
              <w:jc w:val="both"/>
              <w:rPr>
                <w:rFonts w:asciiTheme="majorHAnsi" w:hAnsiTheme="majorHAnsi" w:cs="Arial"/>
              </w:rPr>
            </w:pPr>
            <w:r>
              <w:rPr>
                <w:rFonts w:asciiTheme="majorHAnsi" w:hAnsiTheme="majorHAnsi" w:cs="Arial"/>
              </w:rPr>
              <w:t>Anggota</w:t>
            </w:r>
          </w:p>
        </w:tc>
      </w:tr>
      <w:tr w:rsidR="008F54F8" w:rsidRPr="000D61F4" w:rsidTr="008F54F8">
        <w:trPr>
          <w:trHeight w:val="1111"/>
        </w:trPr>
        <w:tc>
          <w:tcPr>
            <w:tcW w:w="557" w:type="dxa"/>
            <w:vAlign w:val="center"/>
          </w:tcPr>
          <w:p w:rsidR="008F54F8" w:rsidRPr="000D61F4" w:rsidRDefault="008F54F8" w:rsidP="007A2C74">
            <w:pPr>
              <w:jc w:val="both"/>
              <w:rPr>
                <w:rFonts w:asciiTheme="majorHAnsi" w:hAnsiTheme="majorHAnsi" w:cs="Arial"/>
              </w:rPr>
            </w:pPr>
            <w:r>
              <w:rPr>
                <w:rFonts w:asciiTheme="majorHAnsi" w:hAnsiTheme="majorHAnsi" w:cs="Arial"/>
              </w:rPr>
              <w:t>4.</w:t>
            </w:r>
          </w:p>
        </w:tc>
        <w:tc>
          <w:tcPr>
            <w:tcW w:w="2420" w:type="dxa"/>
            <w:vAlign w:val="center"/>
          </w:tcPr>
          <w:p w:rsidR="008F54F8" w:rsidRPr="000D61F4" w:rsidRDefault="008F54F8" w:rsidP="007A2C74">
            <w:pPr>
              <w:jc w:val="both"/>
              <w:rPr>
                <w:rFonts w:asciiTheme="majorHAnsi" w:hAnsiTheme="majorHAnsi" w:cs="Arial"/>
              </w:rPr>
            </w:pPr>
            <w:r>
              <w:rPr>
                <w:rFonts w:asciiTheme="majorHAnsi" w:hAnsiTheme="majorHAnsi" w:cs="Arial"/>
              </w:rPr>
              <w:t>Rini Fahriyani Ilham, S.H.I.</w:t>
            </w:r>
          </w:p>
        </w:tc>
        <w:tc>
          <w:tcPr>
            <w:tcW w:w="1690" w:type="dxa"/>
            <w:vAlign w:val="center"/>
          </w:tcPr>
          <w:p w:rsidR="008F54F8" w:rsidRPr="000D61F4" w:rsidRDefault="008F54F8" w:rsidP="007A2C74">
            <w:pPr>
              <w:jc w:val="both"/>
              <w:rPr>
                <w:rFonts w:asciiTheme="majorHAnsi" w:hAnsiTheme="majorHAnsi" w:cs="Arial"/>
              </w:rPr>
            </w:pPr>
            <w:r w:rsidRPr="000D61F4">
              <w:rPr>
                <w:rFonts w:asciiTheme="majorHAnsi" w:hAnsiTheme="majorHAnsi" w:cs="Arial"/>
              </w:rPr>
              <w:t>Hakim Pratama</w:t>
            </w:r>
          </w:p>
        </w:tc>
        <w:tc>
          <w:tcPr>
            <w:tcW w:w="2848" w:type="dxa"/>
            <w:vAlign w:val="center"/>
          </w:tcPr>
          <w:p w:rsidR="008F54F8" w:rsidRPr="000D61F4" w:rsidRDefault="008F54F8" w:rsidP="008F54F8">
            <w:pPr>
              <w:spacing w:after="0" w:line="240" w:lineRule="auto"/>
              <w:jc w:val="both"/>
              <w:rPr>
                <w:rFonts w:asciiTheme="majorHAnsi" w:hAnsiTheme="majorHAnsi" w:cs="Arial"/>
              </w:rPr>
            </w:pPr>
            <w:r w:rsidRPr="000D61F4">
              <w:rPr>
                <w:rFonts w:asciiTheme="majorHAnsi" w:hAnsiTheme="majorHAnsi" w:cs="Arial"/>
              </w:rPr>
              <w:t>Bidang Administrasi Kepegawaian, Keuangan, Inventaris, dan Administrasi Umum.</w:t>
            </w:r>
          </w:p>
        </w:tc>
        <w:tc>
          <w:tcPr>
            <w:tcW w:w="1155" w:type="dxa"/>
            <w:vAlign w:val="center"/>
          </w:tcPr>
          <w:p w:rsidR="008F54F8" w:rsidRPr="000D61F4" w:rsidRDefault="008F54F8" w:rsidP="007A2C74">
            <w:pPr>
              <w:ind w:left="163"/>
              <w:jc w:val="both"/>
              <w:rPr>
                <w:rFonts w:asciiTheme="majorHAnsi" w:hAnsiTheme="majorHAnsi" w:cs="Arial"/>
              </w:rPr>
            </w:pPr>
            <w:r>
              <w:rPr>
                <w:rFonts w:asciiTheme="majorHAnsi" w:hAnsiTheme="majorHAnsi" w:cs="Arial"/>
              </w:rPr>
              <w:t>Anggota</w:t>
            </w:r>
          </w:p>
        </w:tc>
      </w:tr>
    </w:tbl>
    <w:p w:rsidR="000D61F4" w:rsidRDefault="000D61F4" w:rsidP="009E4A72">
      <w:pPr>
        <w:spacing w:after="0" w:line="240" w:lineRule="auto"/>
        <w:jc w:val="center"/>
        <w:rPr>
          <w:rFonts w:ascii="Arial" w:hAnsi="Arial" w:cs="Arial"/>
          <w:b/>
          <w:bCs/>
          <w:sz w:val="20"/>
          <w:szCs w:val="20"/>
        </w:rPr>
      </w:pPr>
    </w:p>
    <w:p w:rsidR="009E4A72" w:rsidRPr="001B5AE1" w:rsidRDefault="009E4A72" w:rsidP="009E4A72">
      <w:pPr>
        <w:spacing w:after="0" w:line="240" w:lineRule="auto"/>
        <w:jc w:val="center"/>
        <w:rPr>
          <w:rFonts w:ascii="Arial" w:hAnsi="Arial" w:cs="Arial"/>
          <w:b/>
          <w:bCs/>
          <w:sz w:val="20"/>
          <w:szCs w:val="20"/>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AE166F" w:rsidRPr="00F975A6" w:rsidTr="007A2C74">
        <w:trPr>
          <w:jc w:val="right"/>
        </w:trPr>
        <w:tc>
          <w:tcPr>
            <w:tcW w:w="3794" w:type="dxa"/>
          </w:tcPr>
          <w:p w:rsidR="00AE166F" w:rsidRPr="00F975A6" w:rsidRDefault="00146FD3" w:rsidP="007A2C74">
            <w:pPr>
              <w:jc w:val="both"/>
              <w:rPr>
                <w:rFonts w:asciiTheme="majorHAnsi" w:hAnsiTheme="majorHAnsi"/>
              </w:rPr>
            </w:pPr>
            <w:r>
              <w:rPr>
                <w:rFonts w:asciiTheme="majorHAnsi" w:hAnsiTheme="majorHAnsi"/>
                <w:b/>
                <w:noProof/>
                <w:u w:val="single"/>
                <w:lang w:eastAsia="id-ID"/>
              </w:rPr>
              <w:drawing>
                <wp:anchor distT="0" distB="0" distL="114300" distR="114300" simplePos="0" relativeHeight="251662336" behindDoc="0" locked="0" layoutInCell="1" allowOverlap="1" wp14:anchorId="12B20CBC" wp14:editId="539F30C2">
                  <wp:simplePos x="0" y="0"/>
                  <wp:positionH relativeFrom="column">
                    <wp:posOffset>-142240</wp:posOffset>
                  </wp:positionH>
                  <wp:positionV relativeFrom="paragraph">
                    <wp:posOffset>122291</wp:posOffset>
                  </wp:positionV>
                  <wp:extent cx="1285240" cy="874395"/>
                  <wp:effectExtent l="0" t="0" r="0" b="0"/>
                  <wp:wrapNone/>
                  <wp:docPr id="2" name="Picture 2" descr="D:\ttd_ke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td_ketua.png"/>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285240"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AE166F">
              <w:rPr>
                <w:rFonts w:asciiTheme="majorHAnsi" w:hAnsiTheme="majorHAnsi"/>
              </w:rPr>
              <w:t>Ketua</w:t>
            </w:r>
            <w:r w:rsidR="00AE166F" w:rsidRPr="00F975A6">
              <w:rPr>
                <w:rFonts w:asciiTheme="majorHAnsi" w:hAnsiTheme="majorHAnsi"/>
              </w:rPr>
              <w:t>,</w:t>
            </w: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974CED" w:rsidRPr="00F975A6" w:rsidRDefault="00974CED" w:rsidP="00974CED">
            <w:pPr>
              <w:jc w:val="both"/>
              <w:rPr>
                <w:rFonts w:asciiTheme="majorHAnsi" w:hAnsiTheme="majorHAnsi"/>
                <w:b/>
                <w:u w:val="single"/>
              </w:rPr>
            </w:pPr>
            <w:r>
              <w:rPr>
                <w:rFonts w:asciiTheme="majorHAnsi" w:hAnsiTheme="majorHAnsi"/>
                <w:b/>
                <w:u w:val="single"/>
              </w:rPr>
              <w:t>Ahmad Jamil, S.Ag.</w:t>
            </w:r>
          </w:p>
          <w:p w:rsidR="00AE166F" w:rsidRPr="00C95C25" w:rsidRDefault="00974CED" w:rsidP="00974CED">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19741012 200502 1 002</w:t>
            </w:r>
          </w:p>
        </w:tc>
      </w:tr>
    </w:tbl>
    <w:p w:rsidR="00AE166F" w:rsidRDefault="00AE166F"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Pr="00544654" w:rsidRDefault="000D61F4" w:rsidP="000D61F4">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w:t>
      </w:r>
      <w:r>
        <w:rPr>
          <w:rFonts w:asciiTheme="majorHAnsi" w:hAnsiTheme="majorHAnsi" w:cs="Times New Roman"/>
          <w:sz w:val="16"/>
        </w:rPr>
        <w:t>I</w:t>
      </w:r>
      <w:r w:rsidRPr="00544654">
        <w:rPr>
          <w:rFonts w:asciiTheme="majorHAnsi" w:hAnsiTheme="majorHAnsi" w:cs="Times New Roman"/>
          <w:sz w:val="16"/>
        </w:rPr>
        <w:t xml:space="preserve">I SURAT KEPUTUSAN </w:t>
      </w:r>
    </w:p>
    <w:p w:rsidR="000D61F4" w:rsidRPr="00544654" w:rsidRDefault="000D61F4" w:rsidP="000D61F4">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0D61F4" w:rsidRPr="00544654" w:rsidRDefault="000D61F4" w:rsidP="000D61F4">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sidR="00974CED">
        <w:rPr>
          <w:rFonts w:asciiTheme="majorHAnsi" w:hAnsiTheme="majorHAnsi" w:cs="Times New Roman"/>
          <w:sz w:val="16"/>
        </w:rPr>
        <w:t>76</w:t>
      </w:r>
      <w:r w:rsidRPr="00544654">
        <w:rPr>
          <w:rFonts w:asciiTheme="majorHAnsi" w:hAnsiTheme="majorHAnsi" w:cs="Times New Roman"/>
          <w:sz w:val="16"/>
        </w:rPr>
        <w:t>/</w:t>
      </w:r>
      <w:r w:rsidR="00974CED">
        <w:rPr>
          <w:rFonts w:asciiTheme="majorHAnsi" w:hAnsiTheme="majorHAnsi" w:cs="Times New Roman"/>
          <w:sz w:val="16"/>
        </w:rPr>
        <w:t>PS</w:t>
      </w:r>
      <w:r w:rsidRPr="00544654">
        <w:rPr>
          <w:rFonts w:asciiTheme="majorHAnsi" w:hAnsiTheme="majorHAnsi" w:cs="Times New Roman"/>
          <w:sz w:val="16"/>
        </w:rPr>
        <w:t>.0</w:t>
      </w:r>
      <w:r w:rsidR="00974CED">
        <w:rPr>
          <w:rFonts w:asciiTheme="majorHAnsi" w:hAnsiTheme="majorHAnsi" w:cs="Times New Roman"/>
          <w:sz w:val="16"/>
        </w:rPr>
        <w:t>0</w:t>
      </w:r>
      <w:r w:rsidRPr="00544654">
        <w:rPr>
          <w:rFonts w:asciiTheme="majorHAnsi" w:hAnsiTheme="majorHAnsi" w:cs="Times New Roman"/>
          <w:sz w:val="16"/>
        </w:rPr>
        <w:t>/I</w:t>
      </w:r>
      <w:r w:rsidR="008061AD">
        <w:rPr>
          <w:rFonts w:asciiTheme="majorHAnsi" w:hAnsiTheme="majorHAnsi" w:cs="Times New Roman"/>
          <w:sz w:val="16"/>
        </w:rPr>
        <w:t>V</w:t>
      </w:r>
      <w:r w:rsidRPr="00544654">
        <w:rPr>
          <w:rFonts w:asciiTheme="majorHAnsi" w:hAnsiTheme="majorHAnsi" w:cs="Times New Roman"/>
          <w:sz w:val="16"/>
        </w:rPr>
        <w:t>/2020</w:t>
      </w:r>
    </w:p>
    <w:p w:rsidR="000D61F4" w:rsidRPr="00544654" w:rsidRDefault="000D61F4" w:rsidP="000D61F4">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sidR="008F54F8">
        <w:rPr>
          <w:rFonts w:asciiTheme="majorHAnsi" w:hAnsiTheme="majorHAnsi" w:cs="Times New Roman"/>
          <w:sz w:val="16"/>
        </w:rPr>
        <w:t>20 April</w:t>
      </w:r>
      <w:r w:rsidRPr="00544654">
        <w:rPr>
          <w:rFonts w:asciiTheme="majorHAnsi" w:hAnsiTheme="majorHAnsi" w:cs="Times New Roman"/>
          <w:sz w:val="16"/>
        </w:rPr>
        <w:t xml:space="preserve"> 2020</w:t>
      </w:r>
    </w:p>
    <w:p w:rsidR="000D61F4" w:rsidRDefault="000D61F4" w:rsidP="000D61F4">
      <w:pPr>
        <w:autoSpaceDE w:val="0"/>
        <w:autoSpaceDN w:val="0"/>
        <w:adjustRightInd w:val="0"/>
        <w:spacing w:after="0" w:line="360" w:lineRule="auto"/>
        <w:rPr>
          <w:rFonts w:asciiTheme="majorHAnsi" w:hAnsiTheme="majorHAnsi" w:cs="Times New Roman"/>
        </w:rPr>
      </w:pPr>
    </w:p>
    <w:p w:rsidR="000D61F4" w:rsidRDefault="000D61F4" w:rsidP="000D61F4">
      <w:pPr>
        <w:spacing w:after="0" w:line="240" w:lineRule="auto"/>
        <w:jc w:val="center"/>
        <w:rPr>
          <w:rFonts w:ascii="Arial" w:hAnsi="Arial" w:cs="Arial"/>
          <w:b/>
          <w:bCs/>
          <w:sz w:val="20"/>
          <w:szCs w:val="20"/>
        </w:rPr>
      </w:pPr>
    </w:p>
    <w:p w:rsidR="000D61F4" w:rsidRDefault="000D61F4" w:rsidP="000D61F4">
      <w:pPr>
        <w:spacing w:after="0" w:line="240" w:lineRule="auto"/>
        <w:jc w:val="center"/>
        <w:rPr>
          <w:rFonts w:ascii="Arial" w:hAnsi="Arial" w:cs="Arial"/>
          <w:b/>
          <w:bCs/>
          <w:sz w:val="20"/>
          <w:szCs w:val="20"/>
        </w:rPr>
      </w:pPr>
      <w:r>
        <w:rPr>
          <w:rFonts w:ascii="Arial" w:hAnsi="Arial" w:cs="Arial"/>
          <w:b/>
          <w:bCs/>
          <w:sz w:val="20"/>
          <w:szCs w:val="20"/>
        </w:rPr>
        <w:t>STRUKTUR</w:t>
      </w:r>
      <w:r w:rsidRPr="001B5AE1">
        <w:rPr>
          <w:rFonts w:ascii="Arial" w:hAnsi="Arial" w:cs="Arial"/>
          <w:b/>
          <w:bCs/>
          <w:sz w:val="20"/>
          <w:szCs w:val="20"/>
        </w:rPr>
        <w:t xml:space="preserve"> </w:t>
      </w:r>
      <w:r>
        <w:rPr>
          <w:rFonts w:ascii="Arial" w:hAnsi="Arial" w:cs="Arial"/>
          <w:b/>
          <w:bCs/>
          <w:sz w:val="20"/>
          <w:szCs w:val="20"/>
        </w:rPr>
        <w:t>HAKIM PENGAWAS BIDANG</w:t>
      </w:r>
    </w:p>
    <w:p w:rsidR="000D61F4" w:rsidRDefault="000D61F4" w:rsidP="000D61F4">
      <w:pPr>
        <w:spacing w:after="0" w:line="240" w:lineRule="auto"/>
        <w:jc w:val="center"/>
        <w:rPr>
          <w:rFonts w:ascii="Arial" w:hAnsi="Arial" w:cs="Arial"/>
          <w:b/>
          <w:bCs/>
          <w:sz w:val="20"/>
          <w:szCs w:val="20"/>
        </w:rPr>
      </w:pPr>
      <w:r w:rsidRPr="001B5AE1">
        <w:rPr>
          <w:rFonts w:ascii="Arial" w:hAnsi="Arial" w:cs="Arial"/>
          <w:b/>
          <w:bCs/>
          <w:sz w:val="20"/>
          <w:szCs w:val="20"/>
        </w:rPr>
        <w:t>PADA PENGADILAN AGAMA SELAYAR</w:t>
      </w:r>
    </w:p>
    <w:p w:rsidR="000D61F4" w:rsidRDefault="000D61F4" w:rsidP="000D61F4">
      <w:pPr>
        <w:spacing w:after="0" w:line="240" w:lineRule="auto"/>
        <w:jc w:val="center"/>
        <w:rPr>
          <w:rFonts w:ascii="Arial" w:hAnsi="Arial" w:cs="Arial"/>
          <w:b/>
          <w:bCs/>
          <w:sz w:val="20"/>
          <w:szCs w:val="20"/>
        </w:rPr>
      </w:pPr>
      <w:r>
        <w:rPr>
          <w:rFonts w:ascii="Arial" w:hAnsi="Arial" w:cs="Arial"/>
          <w:b/>
          <w:bCs/>
          <w:sz w:val="20"/>
          <w:szCs w:val="20"/>
        </w:rPr>
        <w:t>TAHUN ANGGARAN 2020</w:t>
      </w: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r>
        <w:rPr>
          <w:rFonts w:asciiTheme="majorHAnsi" w:hAnsiTheme="majorHAnsi" w:cs="Times New Roman"/>
          <w:noProof/>
          <w:lang w:eastAsia="id-ID"/>
        </w:rPr>
        <mc:AlternateContent>
          <mc:Choice Requires="wpg">
            <w:drawing>
              <wp:anchor distT="0" distB="0" distL="114300" distR="114300" simplePos="0" relativeHeight="251658240" behindDoc="0" locked="0" layoutInCell="1" allowOverlap="1" wp14:anchorId="57D1DE78" wp14:editId="29507B6F">
                <wp:simplePos x="0" y="0"/>
                <wp:positionH relativeFrom="column">
                  <wp:posOffset>-601393</wp:posOffset>
                </wp:positionH>
                <wp:positionV relativeFrom="paragraph">
                  <wp:posOffset>37465</wp:posOffset>
                </wp:positionV>
                <wp:extent cx="6530975" cy="3145155"/>
                <wp:effectExtent l="0" t="0" r="22225" b="1714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975" cy="3145155"/>
                          <a:chOff x="847" y="4120"/>
                          <a:chExt cx="10285" cy="4953"/>
                        </a:xfrm>
                      </wpg:grpSpPr>
                      <wpg:grpSp>
                        <wpg:cNvPr id="27" name="Group 27"/>
                        <wpg:cNvGrpSpPr>
                          <a:grpSpLocks/>
                        </wpg:cNvGrpSpPr>
                        <wpg:grpSpPr bwMode="auto">
                          <a:xfrm>
                            <a:off x="2505" y="4120"/>
                            <a:ext cx="7272" cy="2659"/>
                            <a:chOff x="2505" y="4120"/>
                            <a:chExt cx="7272" cy="2659"/>
                          </a:xfrm>
                        </wpg:grpSpPr>
                        <wps:wsp>
                          <wps:cNvPr id="28" name="Rectangle 28"/>
                          <wps:cNvSpPr>
                            <a:spLocks noChangeArrowheads="1"/>
                          </wps:cNvSpPr>
                          <wps:spPr bwMode="auto">
                            <a:xfrm>
                              <a:off x="4320" y="4120"/>
                              <a:ext cx="3618" cy="1076"/>
                            </a:xfrm>
                            <a:prstGeom prst="rect">
                              <a:avLst/>
                            </a:prstGeom>
                            <a:solidFill>
                              <a:srgbClr val="FFFFFF"/>
                            </a:solidFill>
                            <a:ln w="9525">
                              <a:solidFill>
                                <a:srgbClr val="000000"/>
                              </a:solidFill>
                              <a:miter lim="800000"/>
                              <a:headEnd/>
                              <a:tailEnd/>
                            </a:ln>
                          </wps:spPr>
                          <wps:txbx>
                            <w:txbxContent>
                              <w:p w:rsidR="000D61F4" w:rsidRPr="00892310" w:rsidRDefault="000D61F4" w:rsidP="00BE0B4B">
                                <w:pPr>
                                  <w:jc w:val="center"/>
                                  <w:rPr>
                                    <w:b/>
                                  </w:rPr>
                                </w:pPr>
                                <w:r w:rsidRPr="00892310">
                                  <w:rPr>
                                    <w:b/>
                                  </w:rPr>
                                  <w:t>Koordinator Pengawas</w:t>
                                </w:r>
                              </w:p>
                              <w:p w:rsidR="000D61F4" w:rsidRPr="00791CA3" w:rsidRDefault="000D61F4" w:rsidP="00BE0B4B">
                                <w:pPr>
                                  <w:jc w:val="center"/>
                                </w:pPr>
                                <w:r>
                                  <w:t>Mustamin, Lc.</w:t>
                                </w:r>
                              </w:p>
                              <w:p w:rsidR="000D61F4" w:rsidRDefault="000D61F4"/>
                            </w:txbxContent>
                          </wps:txbx>
                          <wps:bodyPr rot="0" vert="horz" wrap="square" lIns="91440" tIns="45720" rIns="91440" bIns="45720" anchor="t" anchorCtr="0" upright="1">
                            <a:noAutofit/>
                          </wps:bodyPr>
                        </wps:wsp>
                        <wps:wsp>
                          <wps:cNvPr id="29" name="AutoShape 29"/>
                          <wps:cNvCnPr>
                            <a:cxnSpLocks noChangeShapeType="1"/>
                          </wps:cNvCnPr>
                          <wps:spPr bwMode="auto">
                            <a:xfrm>
                              <a:off x="2505" y="5793"/>
                              <a:ext cx="72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0"/>
                          <wps:cNvCnPr>
                            <a:cxnSpLocks noChangeShapeType="1"/>
                          </wps:cNvCnPr>
                          <wps:spPr bwMode="auto">
                            <a:xfrm>
                              <a:off x="2505" y="5793"/>
                              <a:ext cx="0" cy="9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wps:cNvCnPr>
                          <wps:spPr bwMode="auto">
                            <a:xfrm>
                              <a:off x="6123" y="5196"/>
                              <a:ext cx="1" cy="1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32"/>
                          <wps:cNvCnPr>
                            <a:cxnSpLocks noChangeShapeType="1"/>
                          </wps:cNvCnPr>
                          <wps:spPr bwMode="auto">
                            <a:xfrm>
                              <a:off x="9777" y="5793"/>
                              <a:ext cx="0" cy="9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3"/>
                          <wps:cNvCnPr>
                            <a:cxnSpLocks noChangeShapeType="1"/>
                          </wps:cNvCnPr>
                          <wps:spPr bwMode="auto">
                            <a:xfrm>
                              <a:off x="4320" y="4625"/>
                              <a:ext cx="36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34"/>
                        <wpg:cNvGrpSpPr>
                          <a:grpSpLocks/>
                        </wpg:cNvGrpSpPr>
                        <wpg:grpSpPr bwMode="auto">
                          <a:xfrm>
                            <a:off x="847" y="6847"/>
                            <a:ext cx="10285" cy="2226"/>
                            <a:chOff x="847" y="6847"/>
                            <a:chExt cx="10285" cy="2226"/>
                          </a:xfrm>
                        </wpg:grpSpPr>
                        <wps:wsp>
                          <wps:cNvPr id="35" name="Rectangle 35"/>
                          <wps:cNvSpPr>
                            <a:spLocks noChangeArrowheads="1"/>
                          </wps:cNvSpPr>
                          <wps:spPr bwMode="auto">
                            <a:xfrm>
                              <a:off x="4441" y="6847"/>
                              <a:ext cx="3194" cy="2202"/>
                            </a:xfrm>
                            <a:prstGeom prst="rect">
                              <a:avLst/>
                            </a:prstGeom>
                            <a:solidFill>
                              <a:srgbClr val="FFFFFF"/>
                            </a:solidFill>
                            <a:ln w="9525">
                              <a:solidFill>
                                <a:srgbClr val="000000"/>
                              </a:solidFill>
                              <a:miter lim="800000"/>
                              <a:headEnd/>
                              <a:tailEnd/>
                            </a:ln>
                          </wps:spPr>
                          <wps:txbx>
                            <w:txbxContent>
                              <w:p w:rsidR="000D61F4" w:rsidRPr="00892310" w:rsidRDefault="000D61F4" w:rsidP="0015428F">
                                <w:pPr>
                                  <w:jc w:val="center"/>
                                  <w:rPr>
                                    <w:b/>
                                  </w:rPr>
                                </w:pPr>
                                <w:r w:rsidRPr="00892310">
                                  <w:rPr>
                                    <w:b/>
                                  </w:rPr>
                                  <w:t>Bidang administrasi kepegawaian, keuangan, inventaris, dan administrasi umum</w:t>
                                </w:r>
                              </w:p>
                              <w:p w:rsidR="000D61F4" w:rsidRDefault="00974CED" w:rsidP="00974CED">
                                <w:pPr>
                                  <w:spacing w:before="360"/>
                                  <w:jc w:val="center"/>
                                </w:pPr>
                                <w:r>
                                  <w:rPr>
                                    <w:rFonts w:asciiTheme="majorHAnsi" w:hAnsiTheme="majorHAnsi" w:cs="Arial"/>
                                  </w:rPr>
                                  <w:t>Rini Fahriyani Ilham, S.H.I.</w:t>
                                </w:r>
                              </w:p>
                            </w:txbxContent>
                          </wps:txbx>
                          <wps:bodyPr rot="0" vert="horz" wrap="square" lIns="91440" tIns="45720" rIns="91440" bIns="45720" anchor="t" anchorCtr="0" upright="1">
                            <a:noAutofit/>
                          </wps:bodyPr>
                        </wps:wsp>
                        <wps:wsp>
                          <wps:cNvPr id="36" name="Rectangle 36"/>
                          <wps:cNvSpPr>
                            <a:spLocks noChangeArrowheads="1"/>
                          </wps:cNvSpPr>
                          <wps:spPr bwMode="auto">
                            <a:xfrm>
                              <a:off x="847" y="6847"/>
                              <a:ext cx="3304" cy="2202"/>
                            </a:xfrm>
                            <a:prstGeom prst="rect">
                              <a:avLst/>
                            </a:prstGeom>
                            <a:solidFill>
                              <a:srgbClr val="FFFFFF"/>
                            </a:solidFill>
                            <a:ln w="9525">
                              <a:solidFill>
                                <a:srgbClr val="000000"/>
                              </a:solidFill>
                              <a:miter lim="800000"/>
                              <a:headEnd/>
                              <a:tailEnd/>
                            </a:ln>
                          </wps:spPr>
                          <wps:txbx>
                            <w:txbxContent>
                              <w:p w:rsidR="000D61F4" w:rsidRPr="00892310" w:rsidRDefault="000D61F4" w:rsidP="0015428F">
                                <w:pPr>
                                  <w:jc w:val="center"/>
                                  <w:rPr>
                                    <w:b/>
                                  </w:rPr>
                                </w:pPr>
                                <w:r w:rsidRPr="00892310">
                                  <w:rPr>
                                    <w:b/>
                                  </w:rPr>
                                  <w:t>Bidang adminitrasi persidangan dan administrasi perkara</w:t>
                                </w:r>
                              </w:p>
                              <w:p w:rsidR="000D61F4" w:rsidRDefault="000D61F4" w:rsidP="0015428F">
                                <w:pPr>
                                  <w:jc w:val="center"/>
                                </w:pPr>
                              </w:p>
                              <w:p w:rsidR="00974CED" w:rsidRDefault="00974CED" w:rsidP="00974CED">
                                <w:pPr>
                                  <w:spacing w:before="360"/>
                                  <w:jc w:val="center"/>
                                </w:pPr>
                                <w:r>
                                  <w:t>Mawir, S.H.I., M.H.</w:t>
                                </w:r>
                              </w:p>
                              <w:p w:rsidR="000D61F4" w:rsidRPr="00791CA3" w:rsidRDefault="000D61F4" w:rsidP="000D61F4">
                                <w:pPr>
                                  <w:spacing w:before="360"/>
                                  <w:jc w:val="center"/>
                                </w:pPr>
                              </w:p>
                              <w:p w:rsidR="000D61F4" w:rsidRDefault="000D61F4" w:rsidP="00791CA3">
                                <w:pPr>
                                  <w:jc w:val="center"/>
                                </w:pPr>
                              </w:p>
                            </w:txbxContent>
                          </wps:txbx>
                          <wps:bodyPr rot="0" vert="horz" wrap="square" lIns="91440" tIns="45720" rIns="91440" bIns="45720" anchor="t" anchorCtr="0" upright="1">
                            <a:noAutofit/>
                          </wps:bodyPr>
                        </wps:wsp>
                        <wps:wsp>
                          <wps:cNvPr id="37" name="Rectangle 37"/>
                          <wps:cNvSpPr>
                            <a:spLocks noChangeArrowheads="1"/>
                          </wps:cNvSpPr>
                          <wps:spPr bwMode="auto">
                            <a:xfrm>
                              <a:off x="7938" y="6871"/>
                              <a:ext cx="3194" cy="2202"/>
                            </a:xfrm>
                            <a:prstGeom prst="rect">
                              <a:avLst/>
                            </a:prstGeom>
                            <a:solidFill>
                              <a:srgbClr val="FFFFFF"/>
                            </a:solidFill>
                            <a:ln w="9525">
                              <a:solidFill>
                                <a:srgbClr val="000000"/>
                              </a:solidFill>
                              <a:miter lim="800000"/>
                              <a:headEnd/>
                              <a:tailEnd/>
                            </a:ln>
                          </wps:spPr>
                          <wps:txbx>
                            <w:txbxContent>
                              <w:p w:rsidR="000D61F4" w:rsidRPr="00892310" w:rsidRDefault="000D61F4" w:rsidP="0015428F">
                                <w:pPr>
                                  <w:jc w:val="center"/>
                                  <w:rPr>
                                    <w:b/>
                                  </w:rPr>
                                </w:pPr>
                                <w:r w:rsidRPr="00892310">
                                  <w:rPr>
                                    <w:b/>
                                  </w:rPr>
                                  <w:t>Bidang evaluasi dan manajemen peradilan, kepemimpinan, kinerja lembaga peradilan dan kualitas pelayanan publik</w:t>
                                </w:r>
                              </w:p>
                              <w:p w:rsidR="000D61F4" w:rsidRDefault="00974CED" w:rsidP="0015428F">
                                <w:pPr>
                                  <w:jc w:val="center"/>
                                </w:pPr>
                                <w:r>
                                  <w:rPr>
                                    <w:rFonts w:asciiTheme="majorHAnsi" w:hAnsiTheme="majorHAnsi" w:cs="Arial"/>
                                  </w:rPr>
                                  <w:t>Laeli Fajriyah, S.H.I.</w:t>
                                </w:r>
                              </w:p>
                              <w:p w:rsidR="000D61F4" w:rsidRDefault="000D61F4" w:rsidP="0015428F">
                                <w:pPr>
                                  <w:jc w:val="center"/>
                                </w:pPr>
                              </w:p>
                            </w:txbxContent>
                          </wps:txbx>
                          <wps:bodyPr rot="0" vert="horz" wrap="square" lIns="91440" tIns="45720" rIns="91440" bIns="45720" anchor="t" anchorCtr="0" upright="1">
                            <a:noAutofit/>
                          </wps:bodyPr>
                        </wps:wsp>
                        <wps:wsp>
                          <wps:cNvPr id="38" name="AutoShape 38"/>
                          <wps:cNvCnPr>
                            <a:cxnSpLocks noChangeShapeType="1"/>
                          </wps:cNvCnPr>
                          <wps:spPr bwMode="auto">
                            <a:xfrm>
                              <a:off x="847" y="8213"/>
                              <a:ext cx="33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39"/>
                          <wps:cNvCnPr>
                            <a:cxnSpLocks noChangeShapeType="1"/>
                          </wps:cNvCnPr>
                          <wps:spPr bwMode="auto">
                            <a:xfrm>
                              <a:off x="4441" y="8213"/>
                              <a:ext cx="31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0"/>
                          <wps:cNvCnPr>
                            <a:cxnSpLocks noChangeShapeType="1"/>
                          </wps:cNvCnPr>
                          <wps:spPr bwMode="auto">
                            <a:xfrm>
                              <a:off x="7938" y="8599"/>
                              <a:ext cx="31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47.35pt;margin-top:2.95pt;width:514.25pt;height:247.65pt;z-index:251658240" coordorigin="847,4120" coordsize="10285,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">
                <v:group id="Group 27" o:spid="_x0000_s1027" style="position:absolute;left:2505;top:4120;width:7272;height:2659" coordorigin="2505,4120" coordsize="7272,2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28" style="position:absolute;left:4320;top:4120;width:3618;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0D61F4" w:rsidRPr="00892310" w:rsidRDefault="000D61F4" w:rsidP="00BE0B4B">
                          <w:pPr>
                            <w:jc w:val="center"/>
                            <w:rPr>
                              <w:b/>
                            </w:rPr>
                          </w:pPr>
                          <w:r w:rsidRPr="00892310">
                            <w:rPr>
                              <w:b/>
                            </w:rPr>
                            <w:t>Koordinator Pengawas</w:t>
                          </w:r>
                        </w:p>
                        <w:p w:rsidR="000D61F4" w:rsidRPr="00791CA3" w:rsidRDefault="000D61F4" w:rsidP="00BE0B4B">
                          <w:pPr>
                            <w:jc w:val="center"/>
                          </w:pPr>
                          <w:r>
                            <w:t>Mustamin, Lc.</w:t>
                          </w:r>
                        </w:p>
                        <w:p w:rsidR="000D61F4" w:rsidRDefault="000D61F4"/>
                      </w:txbxContent>
                    </v:textbox>
                  </v:rect>
                  <v:shapetype id="_x0000_t32" coordsize="21600,21600" o:spt="32" o:oned="t" path="m,l21600,21600e" filled="f">
                    <v:path arrowok="t" fillok="f" o:connecttype="none"/>
                    <o:lock v:ext="edit" shapetype="t"/>
                  </v:shapetype>
                  <v:shape id="AutoShape 29" o:spid="_x0000_s1029" type="#_x0000_t32" style="position:absolute;left:2505;top:5793;width:72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0" o:spid="_x0000_s1030" type="#_x0000_t32" style="position:absolute;left:2505;top:5793;width:0;height: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31" o:spid="_x0000_s1031" type="#_x0000_t32" style="position:absolute;left:6123;top:5196;width:1;height:15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32" o:spid="_x0000_s1032" type="#_x0000_t32" style="position:absolute;left:9777;top:5793;width:0;height: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33" o:spid="_x0000_s1033" type="#_x0000_t32" style="position:absolute;left:4320;top:4625;width:36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v:group id="Group 34" o:spid="_x0000_s1034" style="position:absolute;left:847;top:6847;width:10285;height:2226" coordorigin="847,6847" coordsize="10285,2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35" style="position:absolute;left:4441;top:6847;width:3194;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0D61F4" w:rsidRPr="00892310" w:rsidRDefault="000D61F4" w:rsidP="0015428F">
                          <w:pPr>
                            <w:jc w:val="center"/>
                            <w:rPr>
                              <w:b/>
                            </w:rPr>
                          </w:pPr>
                          <w:r w:rsidRPr="00892310">
                            <w:rPr>
                              <w:b/>
                            </w:rPr>
                            <w:t>Bidang administrasi kepegawaian, keuangan, inventaris, dan administrasi umum</w:t>
                          </w:r>
                        </w:p>
                        <w:p w:rsidR="000D61F4" w:rsidRDefault="00974CED" w:rsidP="00974CED">
                          <w:pPr>
                            <w:spacing w:before="360"/>
                            <w:jc w:val="center"/>
                          </w:pPr>
                          <w:r>
                            <w:rPr>
                              <w:rFonts w:asciiTheme="majorHAnsi" w:hAnsiTheme="majorHAnsi" w:cs="Arial"/>
                            </w:rPr>
                            <w:t>Rini Fahriyani Ilham, S.H.I.</w:t>
                          </w:r>
                        </w:p>
                      </w:txbxContent>
                    </v:textbox>
                  </v:rect>
                  <v:rect id="Rectangle 36" o:spid="_x0000_s1036" style="position:absolute;left:847;top:6847;width:3304;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0D61F4" w:rsidRPr="00892310" w:rsidRDefault="000D61F4" w:rsidP="0015428F">
                          <w:pPr>
                            <w:jc w:val="center"/>
                            <w:rPr>
                              <w:b/>
                            </w:rPr>
                          </w:pPr>
                          <w:r w:rsidRPr="00892310">
                            <w:rPr>
                              <w:b/>
                            </w:rPr>
                            <w:t>Bidang adminitrasi persidangan dan administrasi perkara</w:t>
                          </w:r>
                        </w:p>
                        <w:p w:rsidR="000D61F4" w:rsidRDefault="000D61F4" w:rsidP="0015428F">
                          <w:pPr>
                            <w:jc w:val="center"/>
                          </w:pPr>
                        </w:p>
                        <w:p w:rsidR="00974CED" w:rsidRDefault="00974CED" w:rsidP="00974CED">
                          <w:pPr>
                            <w:spacing w:before="360"/>
                            <w:jc w:val="center"/>
                          </w:pPr>
                          <w:r>
                            <w:t>Mawir, S.H.I., M.H.</w:t>
                          </w:r>
                        </w:p>
                        <w:p w:rsidR="000D61F4" w:rsidRPr="00791CA3" w:rsidRDefault="000D61F4" w:rsidP="000D61F4">
                          <w:pPr>
                            <w:spacing w:before="360"/>
                            <w:jc w:val="center"/>
                          </w:pPr>
                        </w:p>
                        <w:p w:rsidR="000D61F4" w:rsidRDefault="000D61F4" w:rsidP="00791CA3">
                          <w:pPr>
                            <w:jc w:val="center"/>
                          </w:pPr>
                        </w:p>
                      </w:txbxContent>
                    </v:textbox>
                  </v:rect>
                  <v:rect id="Rectangle 37" o:spid="_x0000_s1037" style="position:absolute;left:7938;top:6871;width:3194;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0D61F4" w:rsidRPr="00892310" w:rsidRDefault="000D61F4" w:rsidP="0015428F">
                          <w:pPr>
                            <w:jc w:val="center"/>
                            <w:rPr>
                              <w:b/>
                            </w:rPr>
                          </w:pPr>
                          <w:r w:rsidRPr="00892310">
                            <w:rPr>
                              <w:b/>
                            </w:rPr>
                            <w:t>Bidang evaluasi dan manajemen peradilan, kepemimpinan, kinerja lembaga peradilan dan kualitas pelayanan publik</w:t>
                          </w:r>
                        </w:p>
                        <w:p w:rsidR="000D61F4" w:rsidRDefault="00974CED" w:rsidP="0015428F">
                          <w:pPr>
                            <w:jc w:val="center"/>
                          </w:pPr>
                          <w:r>
                            <w:rPr>
                              <w:rFonts w:asciiTheme="majorHAnsi" w:hAnsiTheme="majorHAnsi" w:cs="Arial"/>
                            </w:rPr>
                            <w:t>Laeli Fajriyah, S.H.I.</w:t>
                          </w:r>
                        </w:p>
                        <w:p w:rsidR="000D61F4" w:rsidRDefault="000D61F4" w:rsidP="0015428F">
                          <w:pPr>
                            <w:jc w:val="center"/>
                          </w:pPr>
                        </w:p>
                      </w:txbxContent>
                    </v:textbox>
                  </v:rect>
                  <v:shape id="AutoShape 38" o:spid="_x0000_s1038" type="#_x0000_t32" style="position:absolute;left:847;top:8213;width:33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39" o:spid="_x0000_s1039" type="#_x0000_t32" style="position:absolute;left:4441;top:8213;width:31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40" o:spid="_x0000_s1040" type="#_x0000_t32" style="position:absolute;left:7938;top:8599;width:31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group>
              </v:group>
            </w:pict>
          </mc:Fallback>
        </mc:AlternateContent>
      </w:r>
    </w:p>
    <w:p w:rsidR="000D61F4" w:rsidRDefault="000D61F4" w:rsidP="007F4177">
      <w:pPr>
        <w:autoSpaceDE w:val="0"/>
        <w:autoSpaceDN w:val="0"/>
        <w:adjustRightInd w:val="0"/>
        <w:spacing w:after="0" w:line="360" w:lineRule="auto"/>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Default="000D61F4" w:rsidP="000D61F4">
      <w:pPr>
        <w:rPr>
          <w:rFonts w:asciiTheme="majorHAnsi" w:hAnsiTheme="majorHAnsi" w:cs="Times New Roman"/>
        </w:rPr>
      </w:pPr>
    </w:p>
    <w:p w:rsidR="000D61F4" w:rsidRDefault="000D61F4">
      <w:pPr>
        <w:rPr>
          <w:rFonts w:asciiTheme="majorHAnsi" w:hAnsiTheme="majorHAnsi" w:cs="Times New Roman"/>
        </w:rPr>
      </w:pPr>
      <w:r>
        <w:rPr>
          <w:rFonts w:asciiTheme="majorHAnsi" w:hAnsiTheme="majorHAnsi" w:cs="Times New Roman"/>
        </w:rPr>
        <w:br w:type="page"/>
      </w:r>
    </w:p>
    <w:p w:rsidR="007A3ACF" w:rsidRPr="00544654" w:rsidRDefault="007A3ACF" w:rsidP="007A3ACF">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w:t>
      </w:r>
      <w:r>
        <w:rPr>
          <w:rFonts w:asciiTheme="majorHAnsi" w:hAnsiTheme="majorHAnsi" w:cs="Times New Roman"/>
          <w:sz w:val="16"/>
        </w:rPr>
        <w:t>I</w:t>
      </w:r>
      <w:r w:rsidRPr="00544654">
        <w:rPr>
          <w:rFonts w:asciiTheme="majorHAnsi" w:hAnsiTheme="majorHAnsi" w:cs="Times New Roman"/>
          <w:sz w:val="16"/>
        </w:rPr>
        <w:t>I</w:t>
      </w:r>
      <w:r>
        <w:rPr>
          <w:rFonts w:asciiTheme="majorHAnsi" w:hAnsiTheme="majorHAnsi" w:cs="Times New Roman"/>
          <w:sz w:val="16"/>
        </w:rPr>
        <w:t>I</w:t>
      </w:r>
      <w:r w:rsidRPr="00544654">
        <w:rPr>
          <w:rFonts w:asciiTheme="majorHAnsi" w:hAnsiTheme="majorHAnsi" w:cs="Times New Roman"/>
          <w:sz w:val="16"/>
        </w:rPr>
        <w:t xml:space="preserve"> SURAT KEPUTUSAN </w:t>
      </w:r>
    </w:p>
    <w:p w:rsidR="007A3ACF" w:rsidRPr="00544654" w:rsidRDefault="007A3ACF" w:rsidP="007A3ACF">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7A3ACF" w:rsidRPr="00544654" w:rsidRDefault="007A3ACF" w:rsidP="007A3ACF">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sidR="00974CED">
        <w:rPr>
          <w:rFonts w:asciiTheme="majorHAnsi" w:hAnsiTheme="majorHAnsi" w:cs="Times New Roman"/>
          <w:sz w:val="16"/>
        </w:rPr>
        <w:t>76</w:t>
      </w:r>
      <w:r w:rsidRPr="00544654">
        <w:rPr>
          <w:rFonts w:asciiTheme="majorHAnsi" w:hAnsiTheme="majorHAnsi" w:cs="Times New Roman"/>
          <w:sz w:val="16"/>
        </w:rPr>
        <w:t>/</w:t>
      </w:r>
      <w:r w:rsidR="00974CED">
        <w:rPr>
          <w:rFonts w:asciiTheme="majorHAnsi" w:hAnsiTheme="majorHAnsi" w:cs="Times New Roman"/>
          <w:sz w:val="16"/>
        </w:rPr>
        <w:t>PS</w:t>
      </w:r>
      <w:r w:rsidRPr="00544654">
        <w:rPr>
          <w:rFonts w:asciiTheme="majorHAnsi" w:hAnsiTheme="majorHAnsi" w:cs="Times New Roman"/>
          <w:sz w:val="16"/>
        </w:rPr>
        <w:t>.0</w:t>
      </w:r>
      <w:r w:rsidR="00974CED">
        <w:rPr>
          <w:rFonts w:asciiTheme="majorHAnsi" w:hAnsiTheme="majorHAnsi" w:cs="Times New Roman"/>
          <w:sz w:val="16"/>
        </w:rPr>
        <w:t>0</w:t>
      </w:r>
      <w:r w:rsidRPr="00544654">
        <w:rPr>
          <w:rFonts w:asciiTheme="majorHAnsi" w:hAnsiTheme="majorHAnsi" w:cs="Times New Roman"/>
          <w:sz w:val="16"/>
        </w:rPr>
        <w:t>/I</w:t>
      </w:r>
      <w:r w:rsidR="00974CED">
        <w:rPr>
          <w:rFonts w:asciiTheme="majorHAnsi" w:hAnsiTheme="majorHAnsi" w:cs="Times New Roman"/>
          <w:sz w:val="16"/>
        </w:rPr>
        <w:t>V</w:t>
      </w:r>
      <w:r w:rsidRPr="00544654">
        <w:rPr>
          <w:rFonts w:asciiTheme="majorHAnsi" w:hAnsiTheme="majorHAnsi" w:cs="Times New Roman"/>
          <w:sz w:val="16"/>
        </w:rPr>
        <w:t>/2020</w:t>
      </w:r>
    </w:p>
    <w:p w:rsidR="007A3ACF" w:rsidRPr="00544654" w:rsidRDefault="007A3ACF" w:rsidP="007A3ACF">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xml:space="preserve">: </w:t>
      </w:r>
      <w:r w:rsidR="008F54F8">
        <w:rPr>
          <w:rFonts w:asciiTheme="majorHAnsi" w:hAnsiTheme="majorHAnsi" w:cs="Times New Roman"/>
          <w:sz w:val="16"/>
        </w:rPr>
        <w:t>20 April</w:t>
      </w:r>
      <w:r w:rsidRPr="00544654">
        <w:rPr>
          <w:rFonts w:asciiTheme="majorHAnsi" w:hAnsiTheme="majorHAnsi" w:cs="Times New Roman"/>
          <w:sz w:val="16"/>
        </w:rPr>
        <w:t xml:space="preserve"> 2020</w:t>
      </w:r>
    </w:p>
    <w:p w:rsidR="007A3ACF" w:rsidRDefault="007A3ACF" w:rsidP="007A3ACF">
      <w:pPr>
        <w:autoSpaceDE w:val="0"/>
        <w:autoSpaceDN w:val="0"/>
        <w:adjustRightInd w:val="0"/>
        <w:spacing w:after="0" w:line="360" w:lineRule="auto"/>
        <w:rPr>
          <w:rFonts w:asciiTheme="majorHAnsi" w:hAnsiTheme="majorHAnsi" w:cs="Times New Roman"/>
        </w:rPr>
      </w:pPr>
    </w:p>
    <w:p w:rsidR="007A3ACF" w:rsidRDefault="007A3ACF" w:rsidP="007A3ACF">
      <w:pPr>
        <w:spacing w:after="0" w:line="240" w:lineRule="auto"/>
        <w:jc w:val="center"/>
        <w:rPr>
          <w:rFonts w:ascii="Arial" w:hAnsi="Arial" w:cs="Arial"/>
          <w:b/>
          <w:bCs/>
          <w:sz w:val="20"/>
          <w:szCs w:val="20"/>
        </w:rPr>
      </w:pPr>
    </w:p>
    <w:p w:rsidR="007A3ACF" w:rsidRDefault="007A3ACF" w:rsidP="007A3ACF">
      <w:pPr>
        <w:spacing w:after="0" w:line="240" w:lineRule="auto"/>
        <w:jc w:val="center"/>
        <w:rPr>
          <w:rFonts w:ascii="Arial" w:hAnsi="Arial" w:cs="Arial"/>
          <w:b/>
          <w:bCs/>
          <w:sz w:val="20"/>
          <w:szCs w:val="20"/>
        </w:rPr>
      </w:pPr>
      <w:r>
        <w:rPr>
          <w:rFonts w:ascii="Arial" w:hAnsi="Arial" w:cs="Arial"/>
          <w:b/>
          <w:bCs/>
          <w:sz w:val="20"/>
          <w:szCs w:val="20"/>
        </w:rPr>
        <w:t>URAIAN TUGAS</w:t>
      </w:r>
      <w:r w:rsidRPr="001B5AE1">
        <w:rPr>
          <w:rFonts w:ascii="Arial" w:hAnsi="Arial" w:cs="Arial"/>
          <w:b/>
          <w:bCs/>
          <w:sz w:val="20"/>
          <w:szCs w:val="20"/>
        </w:rPr>
        <w:t xml:space="preserve"> </w:t>
      </w:r>
      <w:r>
        <w:rPr>
          <w:rFonts w:ascii="Arial" w:hAnsi="Arial" w:cs="Arial"/>
          <w:b/>
          <w:bCs/>
          <w:sz w:val="20"/>
          <w:szCs w:val="20"/>
        </w:rPr>
        <w:t>HAKIM PENGAWAS BIDANG</w:t>
      </w:r>
    </w:p>
    <w:p w:rsidR="007A3ACF" w:rsidRDefault="007A3ACF" w:rsidP="007A3ACF">
      <w:pPr>
        <w:spacing w:after="0" w:line="240" w:lineRule="auto"/>
        <w:jc w:val="center"/>
        <w:rPr>
          <w:rFonts w:ascii="Arial" w:hAnsi="Arial" w:cs="Arial"/>
          <w:b/>
          <w:bCs/>
          <w:sz w:val="20"/>
          <w:szCs w:val="20"/>
        </w:rPr>
      </w:pPr>
      <w:r w:rsidRPr="001B5AE1">
        <w:rPr>
          <w:rFonts w:ascii="Arial" w:hAnsi="Arial" w:cs="Arial"/>
          <w:b/>
          <w:bCs/>
          <w:sz w:val="20"/>
          <w:szCs w:val="20"/>
        </w:rPr>
        <w:t>PADA PENGADILAN AGAMA SELAYAR</w:t>
      </w:r>
    </w:p>
    <w:p w:rsidR="007A3ACF" w:rsidRDefault="007A3ACF" w:rsidP="007A3ACF">
      <w:pPr>
        <w:spacing w:after="0" w:line="240" w:lineRule="auto"/>
        <w:jc w:val="center"/>
        <w:rPr>
          <w:rFonts w:ascii="Arial" w:hAnsi="Arial" w:cs="Arial"/>
          <w:b/>
          <w:bCs/>
          <w:sz w:val="20"/>
          <w:szCs w:val="20"/>
        </w:rPr>
      </w:pPr>
      <w:r>
        <w:rPr>
          <w:rFonts w:ascii="Arial" w:hAnsi="Arial" w:cs="Arial"/>
          <w:b/>
          <w:bCs/>
          <w:sz w:val="20"/>
          <w:szCs w:val="20"/>
        </w:rPr>
        <w:t>TAHUN ANGGARAN 2020</w:t>
      </w:r>
    </w:p>
    <w:p w:rsidR="007A3ACF" w:rsidRPr="007A3ACF" w:rsidRDefault="007A3ACF" w:rsidP="007A3ACF">
      <w:pPr>
        <w:spacing w:after="0" w:line="360" w:lineRule="auto"/>
        <w:ind w:left="720"/>
        <w:jc w:val="both"/>
        <w:rPr>
          <w:rFonts w:asciiTheme="majorHAnsi" w:hAnsiTheme="majorHAnsi" w:cs="Arial"/>
          <w:lang w:val="fi-FI"/>
        </w:rPr>
      </w:pPr>
    </w:p>
    <w:p w:rsidR="007A3ACF" w:rsidRPr="007A3ACF" w:rsidRDefault="007A3ACF" w:rsidP="00774877">
      <w:pPr>
        <w:numPr>
          <w:ilvl w:val="0"/>
          <w:numId w:val="6"/>
        </w:numPr>
        <w:spacing w:after="0" w:line="360" w:lineRule="auto"/>
        <w:ind w:left="720" w:hanging="540"/>
        <w:jc w:val="both"/>
        <w:rPr>
          <w:rFonts w:asciiTheme="majorHAnsi" w:hAnsiTheme="majorHAnsi" w:cs="Arial"/>
          <w:lang w:val="fi-FI"/>
        </w:rPr>
      </w:pPr>
      <w:r w:rsidRPr="007A3ACF">
        <w:rPr>
          <w:rFonts w:asciiTheme="majorHAnsi" w:hAnsiTheme="majorHAnsi" w:cs="Arial"/>
          <w:lang w:val="fi-FI"/>
        </w:rPr>
        <w:t>Uraian tugas, kewajiban, dan tanggungjawab Koordinator Hakim Pengawas Bidang</w:t>
      </w:r>
    </w:p>
    <w:p w:rsidR="007A3ACF" w:rsidRPr="007A3ACF" w:rsidRDefault="007A3ACF" w:rsidP="00774877">
      <w:pPr>
        <w:numPr>
          <w:ilvl w:val="0"/>
          <w:numId w:val="7"/>
        </w:numPr>
        <w:spacing w:after="0" w:line="360" w:lineRule="auto"/>
        <w:jc w:val="both"/>
        <w:rPr>
          <w:rFonts w:asciiTheme="majorHAnsi" w:hAnsiTheme="majorHAnsi" w:cs="Arial"/>
          <w:lang w:val="fi-FI"/>
        </w:rPr>
      </w:pPr>
      <w:r w:rsidRPr="007A3ACF">
        <w:rPr>
          <w:rFonts w:asciiTheme="majorHAnsi" w:hAnsiTheme="majorHAnsi" w:cs="Arial"/>
          <w:lang w:val="fi-FI"/>
        </w:rPr>
        <w:t>Mengkoordinir penyelenggaraan pengawasan Hakim Pengawas meliputi teknis peradilan, pengelolaan administrasi peradilan, dan pelaksanaan tugas umum peradilan sesuai dengan rencana dan peraturan perundang-undangan yang berlaku;</w:t>
      </w:r>
    </w:p>
    <w:p w:rsidR="007A3ACF" w:rsidRPr="007A3ACF" w:rsidRDefault="007A3ACF" w:rsidP="00774877">
      <w:pPr>
        <w:numPr>
          <w:ilvl w:val="0"/>
          <w:numId w:val="7"/>
        </w:numPr>
        <w:spacing w:after="0" w:line="360" w:lineRule="auto"/>
        <w:jc w:val="both"/>
        <w:rPr>
          <w:rFonts w:asciiTheme="majorHAnsi" w:hAnsiTheme="majorHAnsi" w:cs="Arial"/>
          <w:lang w:val="fi-FI"/>
        </w:rPr>
      </w:pPr>
      <w:r w:rsidRPr="007A3ACF">
        <w:rPr>
          <w:rFonts w:asciiTheme="majorHAnsi" w:hAnsiTheme="majorHAnsi" w:cs="Arial"/>
          <w:lang w:val="fi-FI"/>
        </w:rPr>
        <w:t>Mengkoordinir penyelenggaraan pengawasan sebagai masukan dan bahan pertimbangan bagi Pimpinan untuk menentukan kebijakan dan tindakan yang diperlukan menyangkut pelaksanaan tugas pengadilan, tingkah laku aparat pengadilan, dan kinerja pelayanan publik pengadilan.</w:t>
      </w:r>
    </w:p>
    <w:p w:rsidR="007A3ACF" w:rsidRPr="007A3ACF" w:rsidRDefault="007A3ACF" w:rsidP="00774877">
      <w:pPr>
        <w:numPr>
          <w:ilvl w:val="0"/>
          <w:numId w:val="6"/>
        </w:numPr>
        <w:spacing w:after="0" w:line="360" w:lineRule="auto"/>
        <w:ind w:left="720" w:hanging="540"/>
        <w:jc w:val="both"/>
        <w:rPr>
          <w:rFonts w:asciiTheme="majorHAnsi" w:hAnsiTheme="majorHAnsi" w:cs="Arial"/>
          <w:lang w:val="fi-FI"/>
        </w:rPr>
      </w:pPr>
      <w:r w:rsidRPr="007A3ACF">
        <w:rPr>
          <w:rFonts w:asciiTheme="majorHAnsi" w:hAnsiTheme="majorHAnsi" w:cs="Arial"/>
          <w:lang w:val="fi-FI"/>
        </w:rPr>
        <w:t>Uraian tugas, kewajiban, dan tanggungjawab Hakim Pengawas Bidang Administrasi Persidangan dan Administrasi Perkara</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t>Bidang Administrasi Persidangan</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Penetapan Majelis Hakim</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Penetapan Hari Sidang</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Panggilan Para Pihak</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Sidang Pengadilan</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Berita Acara Sidang (BAS)</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Minutasi Perkara</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t>Bidang Administrasi Perkara</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Melaksanakan pengawasan prosedur penerimaan perkara</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prosedur penerimaan perkara sudah didasarkan pada sistem meja</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penerimaan perkara dilakukan oleh panitera muda atau petugas yang telah ditunjuk (Meja I)</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petugas yang menaksir biaya perkara berdasarkan penetapan tentang radius oleh ketua pengadilan, kemudian menuangkannya dalam SKUM</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terhadap perkara yang diajukan secara prodeo, dibuatkan SKUM nihil</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lastRenderedPageBreak/>
        <w:t>Memeriksa apakah penaksiran biaya perkara dilakukan sesuai dengan ketentuan:</w:t>
      </w:r>
    </w:p>
    <w:p w:rsidR="007A3ACF" w:rsidRPr="007A3ACF" w:rsidRDefault="007A3ACF" w:rsidP="007A3ACF">
      <w:pPr>
        <w:spacing w:after="0" w:line="360" w:lineRule="auto"/>
        <w:ind w:left="1797"/>
        <w:jc w:val="both"/>
        <w:rPr>
          <w:rFonts w:asciiTheme="majorHAnsi" w:hAnsiTheme="majorHAnsi" w:cs="Arial"/>
          <w:lang w:val="fi-FI"/>
        </w:rPr>
      </w:pPr>
      <w:r w:rsidRPr="007A3ACF">
        <w:rPr>
          <w:rFonts w:asciiTheme="majorHAnsi" w:hAnsiTheme="majorHAnsi" w:cs="Arial"/>
          <w:lang w:val="fi-FI"/>
        </w:rPr>
        <w:t>Penggugat/pemohon = 2 x panggilan</w:t>
      </w:r>
    </w:p>
    <w:p w:rsidR="007A3ACF" w:rsidRPr="007A3ACF" w:rsidRDefault="007A3ACF" w:rsidP="007A3ACF">
      <w:pPr>
        <w:spacing w:after="0" w:line="360" w:lineRule="auto"/>
        <w:ind w:left="1797"/>
        <w:jc w:val="both"/>
        <w:rPr>
          <w:rFonts w:asciiTheme="majorHAnsi" w:hAnsiTheme="majorHAnsi" w:cs="Arial"/>
          <w:lang w:val="fi-FI"/>
        </w:rPr>
      </w:pPr>
      <w:r w:rsidRPr="007A3ACF">
        <w:rPr>
          <w:rFonts w:asciiTheme="majorHAnsi" w:hAnsiTheme="majorHAnsi" w:cs="Arial"/>
          <w:lang w:val="fi-FI"/>
        </w:rPr>
        <w:t>Tergugat/termohon = 3 x panggilan</w:t>
      </w:r>
    </w:p>
    <w:p w:rsidR="007A3ACF" w:rsidRPr="007A3ACF" w:rsidRDefault="007A3ACF" w:rsidP="007A3ACF">
      <w:pPr>
        <w:spacing w:after="0" w:line="360" w:lineRule="auto"/>
        <w:ind w:left="1797"/>
        <w:jc w:val="both"/>
        <w:rPr>
          <w:rFonts w:asciiTheme="majorHAnsi" w:hAnsiTheme="majorHAnsi" w:cs="Arial"/>
          <w:lang w:val="fi-FI"/>
        </w:rPr>
      </w:pPr>
      <w:r w:rsidRPr="007A3ACF">
        <w:rPr>
          <w:rFonts w:asciiTheme="majorHAnsi" w:hAnsiTheme="majorHAnsi" w:cs="Arial"/>
          <w:lang w:val="fi-FI"/>
        </w:rPr>
        <w:t>Materai = (Undang-Undang Materai)</w:t>
      </w:r>
    </w:p>
    <w:p w:rsidR="007A3ACF" w:rsidRPr="007A3ACF" w:rsidRDefault="007A3ACF" w:rsidP="007A3ACF">
      <w:pPr>
        <w:spacing w:after="0" w:line="360" w:lineRule="auto"/>
        <w:ind w:left="1797"/>
        <w:jc w:val="both"/>
        <w:rPr>
          <w:rFonts w:asciiTheme="majorHAnsi" w:hAnsiTheme="majorHAnsi" w:cs="Arial"/>
          <w:lang w:val="fi-FI"/>
        </w:rPr>
      </w:pPr>
      <w:r w:rsidRPr="007A3ACF">
        <w:rPr>
          <w:rFonts w:asciiTheme="majorHAnsi" w:hAnsiTheme="majorHAnsi" w:cs="Arial"/>
          <w:lang w:val="fi-FI"/>
        </w:rPr>
        <w:t>HHK = (SEMA dan peraturan lainnya)</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Kasir memungut biaya perkara berdasarkan SKUM yang telah dibuat oleh petugas Meja I, kemudian menandatangani SKUM</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penomoran perkara dalam SKUM dan dalam gugatan dilakukan oleh Kasir berdasarkan nomor urut dalam jurnal</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kasir disediakan ruang tersendiri/loket</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pencatatan biaya perkara dari buku jurnal kedalam Buku Induk Keuangan Perkara sudah sesuai ketentuan</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pencatatan uang hak-hak kepaniteraan (HHK) dari buku induk keuangan perkara kedalam buku induk HHK telah dilaksanakan dengan tertib sesuai ketentuan</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 xml:space="preserve">Melaksanakan pengawasan register perkara </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Meminta seluruh register perkara yang terdiri dari :</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Induk Perkara Gugatan</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Induk Perakra Permohonan</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Permohonan Banding</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Permohonan Kasasi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Permohonan Peninjauan Kembali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Surat Kuasa Khusus</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Penyitaan Barang Tidak Bergerak</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Penyitaan Barang Bergerak</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 xml:space="preserve">Register Somasi </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Eksekusi</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Meneliti seluruh register dengan meminta beberapa berkas perkara secara sampling untuk diklarifikasi</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Melaksanakan pengawasan keuangan perkara</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Meminta buku-buku jurnal yang terdiri dari :</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perkara gugatan</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perkara permohonan</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permohonan somasi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permohonan banding</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lastRenderedPageBreak/>
        <w:t>Buku jurnal permohonan kasasi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permohonan peninjauan kembali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permohonan eksekusi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kas bantu</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induk keuangan perkara</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keuangan biaya eksekusi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penerimaan uang hak-hak kepaniteraan</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Meneliti dengan mengambil beberapa berkas perkara untuk klarifikasi</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Melaksanakan pengawasan laporan perkara</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Meminta laporan-laporan yang terdiri dari :</w:t>
      </w:r>
    </w:p>
    <w:p w:rsidR="007A3ACF" w:rsidRPr="007A3ACF" w:rsidRDefault="007A3ACF" w:rsidP="00774877">
      <w:pPr>
        <w:numPr>
          <w:ilvl w:val="0"/>
          <w:numId w:val="11"/>
        </w:numPr>
        <w:spacing w:after="0" w:line="360" w:lineRule="auto"/>
        <w:ind w:left="2160"/>
        <w:jc w:val="both"/>
        <w:rPr>
          <w:rFonts w:asciiTheme="majorHAnsi" w:hAnsiTheme="majorHAnsi" w:cs="Arial"/>
          <w:lang w:val="fi-FI"/>
        </w:rPr>
      </w:pPr>
      <w:r w:rsidRPr="007A3ACF">
        <w:rPr>
          <w:rFonts w:asciiTheme="majorHAnsi" w:hAnsiTheme="majorHAnsi" w:cs="Arial"/>
          <w:lang w:val="fi-FI"/>
        </w:rPr>
        <w:t>Laporan bulanan</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keadaan perkara perdata</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keuangan perkara perdata</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jenis perkara perdata</w:t>
      </w:r>
    </w:p>
    <w:p w:rsidR="007A3ACF" w:rsidRPr="007A3ACF" w:rsidRDefault="007A3ACF" w:rsidP="00774877">
      <w:pPr>
        <w:numPr>
          <w:ilvl w:val="0"/>
          <w:numId w:val="11"/>
        </w:numPr>
        <w:spacing w:after="0" w:line="360" w:lineRule="auto"/>
        <w:ind w:left="2160"/>
        <w:jc w:val="both"/>
        <w:rPr>
          <w:rFonts w:asciiTheme="majorHAnsi" w:hAnsiTheme="majorHAnsi" w:cs="Arial"/>
          <w:lang w:val="fi-FI"/>
        </w:rPr>
      </w:pPr>
      <w:r w:rsidRPr="007A3ACF">
        <w:rPr>
          <w:rFonts w:asciiTheme="majorHAnsi" w:hAnsiTheme="majorHAnsi" w:cs="Arial"/>
          <w:lang w:val="fi-FI"/>
        </w:rPr>
        <w:t>Laporan empat bulanan</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perkara perdata yang dimohonkan banding</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perkara perdata yang dimohonkan kasasi</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perkara perdata yang dimohonkan PK</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perkara perdata yang dimohonkan eksekusi</w:t>
      </w:r>
    </w:p>
    <w:p w:rsidR="007A3ACF" w:rsidRPr="007A3ACF" w:rsidRDefault="007A3ACF" w:rsidP="00774877">
      <w:pPr>
        <w:numPr>
          <w:ilvl w:val="0"/>
          <w:numId w:val="11"/>
        </w:numPr>
        <w:spacing w:after="0" w:line="360" w:lineRule="auto"/>
        <w:ind w:left="2160"/>
        <w:jc w:val="both"/>
        <w:rPr>
          <w:rFonts w:asciiTheme="majorHAnsi" w:hAnsiTheme="majorHAnsi" w:cs="Arial"/>
          <w:lang w:val="fi-FI"/>
        </w:rPr>
      </w:pPr>
      <w:r w:rsidRPr="007A3ACF">
        <w:rPr>
          <w:rFonts w:asciiTheme="majorHAnsi" w:hAnsiTheme="majorHAnsi" w:cs="Arial"/>
          <w:lang w:val="fi-FI"/>
        </w:rPr>
        <w:t>Laporan enam bulanan</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tentang kegiatan hakim perkara perdata</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pelaksanaan tugas hakim pengawas</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Meneliti dengan membandingkan buku-buku keuangan, buku register dan beberapa berkas yang dianggap cukup mewakili komponen pemeriksaan</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Melaksanakan pengawasan Pemberkasan dan minutasi perkara</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Penyelesaian perkara sejak diterima, diputuskan dan diminutasi harus selesai 6 bulan</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Perkara yang belumselesai dalam waktu 6 bulan, harus dilaporkan ke Pengadilan Tinggi Agama Makassar dan Mahkamah Agung</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Pembundelan berkas perkara disusun menurut kelompok/kronologis</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Masing-masing kelompok disusun secara kronologis dan dilem secara rapih</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Keseluruhannya disatukan dalam satu bundel, dijahit dan diberi lak stempel</w:t>
      </w:r>
    </w:p>
    <w:p w:rsidR="007A3ACF" w:rsidRPr="007A3ACF" w:rsidRDefault="007A3ACF" w:rsidP="00774877">
      <w:pPr>
        <w:numPr>
          <w:ilvl w:val="0"/>
          <w:numId w:val="6"/>
        </w:numPr>
        <w:spacing w:after="0" w:line="360" w:lineRule="auto"/>
        <w:ind w:left="720" w:hanging="540"/>
        <w:jc w:val="both"/>
        <w:rPr>
          <w:rFonts w:asciiTheme="majorHAnsi" w:hAnsiTheme="majorHAnsi" w:cs="Arial"/>
          <w:lang w:val="fi-FI"/>
        </w:rPr>
      </w:pPr>
      <w:r w:rsidRPr="007A3ACF">
        <w:rPr>
          <w:rFonts w:asciiTheme="majorHAnsi" w:hAnsiTheme="majorHAnsi" w:cs="Arial"/>
          <w:lang w:val="fi-FI"/>
        </w:rPr>
        <w:t>Uraian Tugas, kewajiban, dan tanggungjawab Hakim Pengawas Bidang Administrasi Kepegawaian, Keuangan, Inventaris, dan Administrasi Umum</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lastRenderedPageBreak/>
        <w:t>Adminstrasi Kepegawaian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kelengkapan sarana tata usaha kepegawaian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kebenaran format dan lengkapan sarana tata usaha kepegawaian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sasaran kinerja pegawai</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daftar urut kepangkatan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Nomor Induk Pegawai (NIP) dan Kartu Pegawai (Karpeg)</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pengelolaan kenaikan pangkat pegawai</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kenaikan gaji berkala</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pendidikan dan perjenjangan pegawai</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kesejahteraan pegawai</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pengisian jabatan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pemensiunan pegawai</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t>Administrasi Keuangan</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Mengadakan operasi brankas dengan menghitung jumlah uang dan surat berharga yang ada didalamnya, kemudian buatkan berita acara pemeriksaan kas yang ditandatangani oleh Bendahara dan Pemeriksa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Menutup buku kas umum, kemudian meneliti keadaan uang dalam kas dengan keadaan uang menurut buku kas umum. Kalau ada perbedaan tanyakan apa sebabnya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pembukuan pada kas umum</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Melakukan pencockan antara perencanaan dan pengeluaran dengan DIPA yang ada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Fisik barang atau fisik hasil kegiatan, mengenai volume dan kualitas yang ada pada bukti pengeluaran dikatikan dengan oerencanaan dan anggaran yang tersedia dalam DIPA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Membuat berita acara pemeriksaan fisik barang yang ada dalam gudang, maupun diluar gudang terutama hasil pengadaan barang/bangunan</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Berita acara pemeriksaan fisik ditanfdatangani oleh pemeriksa,bendahara serta atasan langusng bendahara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Penelitian dan penilaian barang dalam gudang dan diluar gudang dilakukan dengan cara mencocokkan antara bukti pembelian dengan jumlah kualitas barang yang diterima atau dilihat juga buku pembantu penerimaan barang dan daftar inventaris barang</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t xml:space="preserve">Inventaris </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laporan hasil inventarisasi</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buku inventaris intrakomptabel</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lastRenderedPageBreak/>
        <w:t>Memeriksa inventaris ekstrakomptabel</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buku barang bersejarah</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buku persediaan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kartu inventaris barang Tanah</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kartu inventaris barang Gedung dan bangunan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kartu inventaris barang alat angkut bermotor</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kartu inventaris barang alat persenjataan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 xml:space="preserve">Memeriksa Laporan BMN triwulan </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Laporan bmn tahunan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Daftar inventaris ruangan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Daftar inventaris lainnya</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Laporan kondisi barang</w:t>
      </w:r>
    </w:p>
    <w:p w:rsidR="007A3ACF" w:rsidRPr="007A3ACF" w:rsidRDefault="007A3ACF" w:rsidP="00774877">
      <w:pPr>
        <w:numPr>
          <w:ilvl w:val="0"/>
          <w:numId w:val="6"/>
        </w:numPr>
        <w:spacing w:after="0" w:line="360" w:lineRule="auto"/>
        <w:ind w:left="720" w:hanging="540"/>
        <w:jc w:val="both"/>
        <w:rPr>
          <w:rFonts w:asciiTheme="majorHAnsi" w:hAnsiTheme="majorHAnsi" w:cs="Arial"/>
          <w:lang w:val="fi-FI"/>
        </w:rPr>
      </w:pPr>
      <w:r w:rsidRPr="007A3ACF">
        <w:rPr>
          <w:rFonts w:asciiTheme="majorHAnsi" w:hAnsiTheme="majorHAnsi" w:cs="Arial"/>
          <w:lang w:val="fi-FI"/>
        </w:rPr>
        <w:t>Uraian Tugas, Kewajiban dan tanggungjawab Hakim Pengawas Bidang Evaluasi dan Penyelenggaraan Manajemen Peradilan, Kepemimpinan, Kinerja Lembaga Peradilan dan Kualitas Pelayanan Publik</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unsur manajemen kantor meliputi perencanaan, pengorganisasian, pelaksanaan dan pengawasan telah berjalan dengan baik</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mekanisme pengawasan telah berjalan dengan baik;</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pimpinan dalam memotivasi, memberikan bimbingan kepada bawahan, men</w:t>
      </w:r>
      <w:bookmarkStart w:id="0" w:name="_GoBack"/>
      <w:bookmarkEnd w:id="0"/>
      <w:r w:rsidRPr="007A3ACF">
        <w:rPr>
          <w:rFonts w:asciiTheme="majorHAnsi" w:hAnsiTheme="majorHAnsi" w:cs="Arial"/>
          <w:lang w:val="fi-FI"/>
        </w:rPr>
        <w:t>jelaskan maksud dan tujuan program kerja dalam rangka mencapai tujuan.</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program dalam peningkatan sumberdaya manusia</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pengadaan dan pemeliharaan inventaris yang menunjang pelayanan publik</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tingkat ketertiban, kedisiplinan, ketaatan, kebersihan dan kerapihan</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tertib perkantoran, tertib rumah tangga, budaya bersih, dan budaya kerja</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kecepatan dan ketepatan penanganan perkara</w:t>
      </w:r>
    </w:p>
    <w:p w:rsidR="007A3ACF" w:rsidRPr="0032205A"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pelayanan dan tingkat pengaduan masyarakat</w:t>
      </w:r>
      <w:r w:rsidR="0032205A">
        <w:rPr>
          <w:rFonts w:asciiTheme="majorHAnsi" w:hAnsiTheme="majorHAnsi" w:cs="Arial"/>
        </w:rPr>
        <w:t>.</w:t>
      </w:r>
    </w:p>
    <w:p w:rsidR="0032205A" w:rsidRPr="007A3ACF" w:rsidRDefault="0032205A" w:rsidP="0032205A">
      <w:pPr>
        <w:spacing w:after="0" w:line="360" w:lineRule="auto"/>
        <w:ind w:left="1080"/>
        <w:jc w:val="both"/>
        <w:rPr>
          <w:rFonts w:asciiTheme="majorHAnsi" w:hAnsiTheme="majorHAnsi" w:cs="Arial"/>
          <w:lang w:val="fi-FI"/>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7A3ACF" w:rsidRPr="00F975A6" w:rsidTr="007A2C74">
        <w:trPr>
          <w:jc w:val="right"/>
        </w:trPr>
        <w:tc>
          <w:tcPr>
            <w:tcW w:w="3794" w:type="dxa"/>
          </w:tcPr>
          <w:p w:rsidR="007A3ACF" w:rsidRPr="00F975A6" w:rsidRDefault="00146FD3" w:rsidP="007A2C74">
            <w:pPr>
              <w:jc w:val="both"/>
              <w:rPr>
                <w:rFonts w:asciiTheme="majorHAnsi" w:hAnsiTheme="majorHAnsi"/>
              </w:rPr>
            </w:pPr>
            <w:r>
              <w:rPr>
                <w:rFonts w:asciiTheme="majorHAnsi" w:hAnsiTheme="majorHAnsi"/>
                <w:b/>
                <w:noProof/>
                <w:u w:val="single"/>
                <w:lang w:eastAsia="id-ID"/>
              </w:rPr>
              <w:drawing>
                <wp:anchor distT="0" distB="0" distL="114300" distR="114300" simplePos="0" relativeHeight="251664384" behindDoc="0" locked="0" layoutInCell="1" allowOverlap="1" wp14:anchorId="2742470B" wp14:editId="34AC3CC0">
                  <wp:simplePos x="0" y="0"/>
                  <wp:positionH relativeFrom="column">
                    <wp:posOffset>-133985</wp:posOffset>
                  </wp:positionH>
                  <wp:positionV relativeFrom="paragraph">
                    <wp:posOffset>69215</wp:posOffset>
                  </wp:positionV>
                  <wp:extent cx="1285240" cy="874395"/>
                  <wp:effectExtent l="0" t="0" r="0" b="0"/>
                  <wp:wrapNone/>
                  <wp:docPr id="3" name="Picture 3" descr="D:\ttd_ke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td_ketua.png"/>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285240"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ACF">
              <w:rPr>
                <w:rFonts w:asciiTheme="majorHAnsi" w:hAnsiTheme="majorHAnsi"/>
              </w:rPr>
              <w:t>Ketua</w:t>
            </w:r>
            <w:r w:rsidR="007A3ACF" w:rsidRPr="00F975A6">
              <w:rPr>
                <w:rFonts w:asciiTheme="majorHAnsi" w:hAnsiTheme="majorHAnsi"/>
              </w:rPr>
              <w:t>,</w:t>
            </w:r>
          </w:p>
          <w:p w:rsidR="007A3ACF" w:rsidRPr="00F975A6" w:rsidRDefault="0056243B" w:rsidP="007A2C74">
            <w:pPr>
              <w:jc w:val="both"/>
              <w:rPr>
                <w:rFonts w:asciiTheme="majorHAnsi" w:hAnsiTheme="majorHAnsi"/>
                <w:b/>
                <w:u w:val="single"/>
              </w:rPr>
            </w:pPr>
            <w:r>
              <w:rPr>
                <w:rFonts w:asciiTheme="majorHAnsi" w:hAnsiTheme="majorHAnsi"/>
                <w:b/>
                <w:u w:val="single"/>
              </w:rPr>
              <w:t xml:space="preserve">   </w:t>
            </w:r>
          </w:p>
          <w:p w:rsidR="007A3ACF" w:rsidRPr="00F975A6" w:rsidRDefault="007A3ACF" w:rsidP="007A2C74">
            <w:pPr>
              <w:jc w:val="both"/>
              <w:rPr>
                <w:rFonts w:asciiTheme="majorHAnsi" w:hAnsiTheme="majorHAnsi"/>
                <w:b/>
                <w:u w:val="single"/>
              </w:rPr>
            </w:pPr>
          </w:p>
          <w:p w:rsidR="007A3ACF" w:rsidRPr="00F975A6" w:rsidRDefault="007A3ACF" w:rsidP="007A2C74">
            <w:pPr>
              <w:jc w:val="both"/>
              <w:rPr>
                <w:rFonts w:asciiTheme="majorHAnsi" w:hAnsiTheme="majorHAnsi"/>
                <w:b/>
                <w:u w:val="single"/>
              </w:rPr>
            </w:pPr>
          </w:p>
          <w:p w:rsidR="007A3ACF" w:rsidRPr="00F975A6" w:rsidRDefault="007A3ACF" w:rsidP="007A2C74">
            <w:pPr>
              <w:jc w:val="both"/>
              <w:rPr>
                <w:rFonts w:asciiTheme="majorHAnsi" w:hAnsiTheme="majorHAnsi"/>
                <w:b/>
                <w:u w:val="single"/>
              </w:rPr>
            </w:pPr>
          </w:p>
          <w:p w:rsidR="00D610BF" w:rsidRPr="00F975A6" w:rsidRDefault="00D610BF" w:rsidP="00D610BF">
            <w:pPr>
              <w:jc w:val="both"/>
              <w:rPr>
                <w:rFonts w:asciiTheme="majorHAnsi" w:hAnsiTheme="majorHAnsi"/>
                <w:b/>
                <w:u w:val="single"/>
              </w:rPr>
            </w:pPr>
            <w:r>
              <w:rPr>
                <w:rFonts w:asciiTheme="majorHAnsi" w:hAnsiTheme="majorHAnsi"/>
                <w:b/>
                <w:u w:val="single"/>
              </w:rPr>
              <w:t>Ahmad Jamil, S.Ag.</w:t>
            </w:r>
          </w:p>
          <w:p w:rsidR="007A3ACF" w:rsidRPr="00C95C25" w:rsidRDefault="00D610BF" w:rsidP="00D610BF">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19741012 200502 1 002</w:t>
            </w:r>
          </w:p>
        </w:tc>
      </w:tr>
    </w:tbl>
    <w:p w:rsidR="000D61F4" w:rsidRPr="000D61F4" w:rsidRDefault="000D61F4" w:rsidP="000D61F4">
      <w:pPr>
        <w:rPr>
          <w:rFonts w:asciiTheme="majorHAnsi" w:hAnsiTheme="majorHAnsi" w:cs="Times New Roman"/>
        </w:rPr>
      </w:pPr>
    </w:p>
    <w:sectPr w:rsidR="000D61F4" w:rsidRPr="000D61F4"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altName w:val="Arial Unicode MS"/>
    <w:charset w:val="81"/>
    <w:family w:val="swiss"/>
    <w:pitch w:val="variable"/>
    <w:sig w:usb0="00000000"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5E59"/>
    <w:multiLevelType w:val="hybridMultilevel"/>
    <w:tmpl w:val="07A6B500"/>
    <w:lvl w:ilvl="0" w:tplc="0344B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55467"/>
    <w:multiLevelType w:val="hybridMultilevel"/>
    <w:tmpl w:val="7AFA5E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3F2DBE"/>
    <w:multiLevelType w:val="hybridMultilevel"/>
    <w:tmpl w:val="C1DEF98C"/>
    <w:lvl w:ilvl="0" w:tplc="218A1616">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F635462"/>
    <w:multiLevelType w:val="hybridMultilevel"/>
    <w:tmpl w:val="F68C1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B46C39"/>
    <w:multiLevelType w:val="hybridMultilevel"/>
    <w:tmpl w:val="0086588E"/>
    <w:lvl w:ilvl="0" w:tplc="A96C0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3E26B9"/>
    <w:multiLevelType w:val="hybridMultilevel"/>
    <w:tmpl w:val="5CC68BAE"/>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421429F7"/>
    <w:multiLevelType w:val="hybridMultilevel"/>
    <w:tmpl w:val="C858633E"/>
    <w:lvl w:ilvl="0" w:tplc="8B5E2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480609"/>
    <w:multiLevelType w:val="hybridMultilevel"/>
    <w:tmpl w:val="4BF42834"/>
    <w:lvl w:ilvl="0" w:tplc="A6802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D426A7"/>
    <w:multiLevelType w:val="hybridMultilevel"/>
    <w:tmpl w:val="43964984"/>
    <w:lvl w:ilvl="0" w:tplc="DFE618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6164689"/>
    <w:multiLevelType w:val="hybridMultilevel"/>
    <w:tmpl w:val="C848284A"/>
    <w:lvl w:ilvl="0" w:tplc="65CC9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DF5C6A"/>
    <w:multiLevelType w:val="hybridMultilevel"/>
    <w:tmpl w:val="35B82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76003A"/>
    <w:multiLevelType w:val="hybridMultilevel"/>
    <w:tmpl w:val="BAD06D76"/>
    <w:lvl w:ilvl="0" w:tplc="FEC2013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72E500F3"/>
    <w:multiLevelType w:val="hybridMultilevel"/>
    <w:tmpl w:val="E9B2D3C4"/>
    <w:lvl w:ilvl="0" w:tplc="923CB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CB5AC8"/>
    <w:multiLevelType w:val="hybridMultilevel"/>
    <w:tmpl w:val="141A9690"/>
    <w:lvl w:ilvl="0" w:tplc="72663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5"/>
  </w:num>
  <w:num w:numId="4">
    <w:abstractNumId w:val="12"/>
  </w:num>
  <w:num w:numId="5">
    <w:abstractNumId w:val="6"/>
  </w:num>
  <w:num w:numId="6">
    <w:abstractNumId w:val="13"/>
  </w:num>
  <w:num w:numId="7">
    <w:abstractNumId w:val="8"/>
  </w:num>
  <w:num w:numId="8">
    <w:abstractNumId w:val="16"/>
  </w:num>
  <w:num w:numId="9">
    <w:abstractNumId w:val="2"/>
  </w:num>
  <w:num w:numId="10">
    <w:abstractNumId w:val="0"/>
  </w:num>
  <w:num w:numId="11">
    <w:abstractNumId w:val="10"/>
  </w:num>
  <w:num w:numId="12">
    <w:abstractNumId w:val="9"/>
  </w:num>
  <w:num w:numId="13">
    <w:abstractNumId w:val="11"/>
  </w:num>
  <w:num w:numId="14">
    <w:abstractNumId w:val="14"/>
  </w:num>
  <w:num w:numId="15">
    <w:abstractNumId w:val="5"/>
  </w:num>
  <w:num w:numId="16">
    <w:abstractNumId w:val="4"/>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D113C"/>
    <w:rsid w:val="000D602C"/>
    <w:rsid w:val="000D61F4"/>
    <w:rsid w:val="00146FD3"/>
    <w:rsid w:val="00150DC9"/>
    <w:rsid w:val="00195D82"/>
    <w:rsid w:val="001D77BC"/>
    <w:rsid w:val="001D7B8C"/>
    <w:rsid w:val="00253FC6"/>
    <w:rsid w:val="002606CD"/>
    <w:rsid w:val="0032205A"/>
    <w:rsid w:val="00365531"/>
    <w:rsid w:val="00370057"/>
    <w:rsid w:val="00385F77"/>
    <w:rsid w:val="003A5750"/>
    <w:rsid w:val="003A762B"/>
    <w:rsid w:val="00437523"/>
    <w:rsid w:val="0051544D"/>
    <w:rsid w:val="0056243B"/>
    <w:rsid w:val="00566B2C"/>
    <w:rsid w:val="00567C74"/>
    <w:rsid w:val="005B37FC"/>
    <w:rsid w:val="005D7018"/>
    <w:rsid w:val="005E572A"/>
    <w:rsid w:val="0060756F"/>
    <w:rsid w:val="006C17EA"/>
    <w:rsid w:val="00716B6A"/>
    <w:rsid w:val="00774877"/>
    <w:rsid w:val="007A1085"/>
    <w:rsid w:val="007A19C1"/>
    <w:rsid w:val="007A3ACF"/>
    <w:rsid w:val="007B27DE"/>
    <w:rsid w:val="007F4177"/>
    <w:rsid w:val="00806155"/>
    <w:rsid w:val="008061AD"/>
    <w:rsid w:val="00863B70"/>
    <w:rsid w:val="00877400"/>
    <w:rsid w:val="008F54F8"/>
    <w:rsid w:val="00905C1D"/>
    <w:rsid w:val="00974CED"/>
    <w:rsid w:val="009C795D"/>
    <w:rsid w:val="009D058A"/>
    <w:rsid w:val="009E4A72"/>
    <w:rsid w:val="00A355C8"/>
    <w:rsid w:val="00A534EC"/>
    <w:rsid w:val="00A758AD"/>
    <w:rsid w:val="00A85250"/>
    <w:rsid w:val="00AB1961"/>
    <w:rsid w:val="00AE166F"/>
    <w:rsid w:val="00BF49A8"/>
    <w:rsid w:val="00C2183C"/>
    <w:rsid w:val="00D610BF"/>
    <w:rsid w:val="00EA15C2"/>
    <w:rsid w:val="00F1072B"/>
    <w:rsid w:val="00F23809"/>
    <w:rsid w:val="00F409A0"/>
    <w:rsid w:val="00F51AD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409A0"/>
    <w:pPr>
      <w:tabs>
        <w:tab w:val="left" w:pos="1843"/>
        <w:tab w:val="left" w:pos="2127"/>
        <w:tab w:val="left" w:pos="2410"/>
      </w:tabs>
      <w:spacing w:after="0" w:line="240" w:lineRule="auto"/>
      <w:ind w:left="2410" w:hanging="2410"/>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F409A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409A0"/>
    <w:pPr>
      <w:tabs>
        <w:tab w:val="left" w:pos="1843"/>
        <w:tab w:val="left" w:pos="2127"/>
        <w:tab w:val="left" w:pos="2410"/>
      </w:tabs>
      <w:spacing w:after="0" w:line="240" w:lineRule="auto"/>
      <w:ind w:left="2410" w:hanging="2410"/>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F409A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24</cp:revision>
  <cp:lastPrinted>2020-05-18T02:59:00Z</cp:lastPrinted>
  <dcterms:created xsi:type="dcterms:W3CDTF">2020-01-23T15:01:00Z</dcterms:created>
  <dcterms:modified xsi:type="dcterms:W3CDTF">2020-05-18T08:28:00Z</dcterms:modified>
</cp:coreProperties>
</file>