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7C" w:rsidRPr="004701D3" w:rsidRDefault="004875D7" w:rsidP="007B17E8">
      <w:pPr>
        <w:jc w:val="center"/>
        <w:rPr>
          <w:b/>
          <w:lang w:val="en-US"/>
        </w:rPr>
      </w:pPr>
      <w:r>
        <w:rPr>
          <w:b/>
          <w:lang w:val="en-US"/>
        </w:rPr>
        <w:fldChar w:fldCharType="begin"/>
      </w:r>
      <w:r>
        <w:rPr>
          <w:b/>
          <w:lang w:val="en-US"/>
        </w:rPr>
        <w:instrText xml:space="preserve"> EQ </w:instrText>
      </w:r>
      <w:r>
        <w:rPr>
          <w:b/>
          <w:lang w:val="en-US"/>
        </w:rPr>
        <w:fldChar w:fldCharType="end"/>
      </w:r>
      <w:r w:rsidR="00F75CA7" w:rsidRPr="004701D3">
        <w:rPr>
          <w:b/>
          <w:lang w:val="en-US"/>
        </w:rPr>
        <w:t>A methodology for electricity option pricing. Case of study: Colombia</w:t>
      </w:r>
    </w:p>
    <w:p w:rsidR="00F75CA7" w:rsidRPr="00D32268" w:rsidRDefault="00F75CA7" w:rsidP="00C617B4">
      <w:pPr>
        <w:pStyle w:val="Ttulo1"/>
        <w:numPr>
          <w:ilvl w:val="0"/>
          <w:numId w:val="2"/>
        </w:numPr>
        <w:rPr>
          <w:rFonts w:asciiTheme="minorHAnsi" w:hAnsiTheme="minorHAnsi" w:cs="Times New Roman"/>
          <w:b/>
          <w:color w:val="FF0000"/>
          <w:sz w:val="22"/>
          <w:szCs w:val="22"/>
          <w:lang w:val="en-US"/>
        </w:rPr>
      </w:pPr>
      <w:r w:rsidRPr="00D32268">
        <w:rPr>
          <w:rFonts w:asciiTheme="minorHAnsi" w:hAnsiTheme="minorHAnsi" w:cs="Times New Roman"/>
          <w:b/>
          <w:color w:val="FF0000"/>
          <w:sz w:val="22"/>
          <w:szCs w:val="22"/>
          <w:lang w:val="en-US"/>
        </w:rPr>
        <w:t>Introduction</w:t>
      </w:r>
    </w:p>
    <w:p w:rsidR="007A6484" w:rsidRDefault="00157C83" w:rsidP="00F75CA7">
      <w:pPr>
        <w:jc w:val="both"/>
        <w:rPr>
          <w:lang w:val="en-US"/>
        </w:rPr>
      </w:pPr>
      <w:r>
        <w:rPr>
          <w:lang w:val="en-US"/>
        </w:rPr>
        <w:t>It is</w:t>
      </w:r>
      <w:r w:rsidR="003B3271">
        <w:rPr>
          <w:lang w:val="en-US"/>
        </w:rPr>
        <w:t xml:space="preserve"> known to us that the electricity has brought the ability of enhancing the production and availability of consumption options</w:t>
      </w:r>
      <w:r w:rsidR="00956B0B">
        <w:rPr>
          <w:lang w:val="en-US"/>
        </w:rPr>
        <w:t xml:space="preserve"> throughout the world</w:t>
      </w:r>
      <w:sdt>
        <w:sdtPr>
          <w:rPr>
            <w:lang w:val="en-US"/>
          </w:rPr>
          <w:id w:val="-465036481"/>
          <w:citation/>
        </w:sdtPr>
        <w:sdtContent>
          <w:r w:rsidR="00956B0B">
            <w:rPr>
              <w:lang w:val="en-US"/>
            </w:rPr>
            <w:fldChar w:fldCharType="begin"/>
          </w:r>
          <w:r w:rsidR="00956B0B" w:rsidRPr="00956B0B">
            <w:rPr>
              <w:lang w:val="en-US"/>
            </w:rPr>
            <w:instrText xml:space="preserve"> CITATION Uni19 \l 9226 </w:instrText>
          </w:r>
          <w:r w:rsidR="00956B0B">
            <w:rPr>
              <w:lang w:val="en-US"/>
            </w:rPr>
            <w:fldChar w:fldCharType="separate"/>
          </w:r>
          <w:r w:rsidR="00956B0B" w:rsidRPr="00956B0B">
            <w:rPr>
              <w:noProof/>
              <w:lang w:val="en-US"/>
            </w:rPr>
            <w:t xml:space="preserve"> (United Nations Development Programme, 2019)</w:t>
          </w:r>
          <w:r w:rsidR="00956B0B">
            <w:rPr>
              <w:lang w:val="en-US"/>
            </w:rPr>
            <w:fldChar w:fldCharType="end"/>
          </w:r>
        </w:sdtContent>
      </w:sdt>
      <w:r w:rsidR="003B3271">
        <w:rPr>
          <w:lang w:val="en-US"/>
        </w:rPr>
        <w:t>, as well as it has allowed our society to connect via globalization</w:t>
      </w:r>
      <w:sdt>
        <w:sdtPr>
          <w:rPr>
            <w:lang w:val="en-US"/>
          </w:rPr>
          <w:id w:val="1318543028"/>
          <w:citation/>
        </w:sdtPr>
        <w:sdtContent>
          <w:r w:rsidR="002B1265">
            <w:rPr>
              <w:lang w:val="en-US"/>
            </w:rPr>
            <w:fldChar w:fldCharType="begin"/>
          </w:r>
          <w:r w:rsidR="00956B0B" w:rsidRPr="00956B0B">
            <w:rPr>
              <w:lang w:val="en-US"/>
            </w:rPr>
            <w:instrText xml:space="preserve">CITATION Ara19 \l 9226 </w:instrText>
          </w:r>
          <w:r w:rsidR="002B1265">
            <w:rPr>
              <w:lang w:val="en-US"/>
            </w:rPr>
            <w:fldChar w:fldCharType="separate"/>
          </w:r>
          <w:r w:rsidR="00956B0B" w:rsidRPr="00956B0B">
            <w:rPr>
              <w:noProof/>
              <w:lang w:val="en-US"/>
            </w:rPr>
            <w:t xml:space="preserve"> (Arango, Arango, &amp; Londoño, 2019)</w:t>
          </w:r>
          <w:r w:rsidR="002B1265">
            <w:rPr>
              <w:lang w:val="en-US"/>
            </w:rPr>
            <w:fldChar w:fldCharType="end"/>
          </w:r>
        </w:sdtContent>
      </w:sdt>
      <w:r w:rsidR="003B3271">
        <w:rPr>
          <w:lang w:val="en-US"/>
        </w:rPr>
        <w:t xml:space="preserve">. </w:t>
      </w:r>
      <w:r w:rsidR="00FA0056">
        <w:rPr>
          <w:lang w:val="en-US"/>
        </w:rPr>
        <w:t>As a result of the importance of electric energy, its producers and consumers have been linked by markets that allow the interaction both between supply and demand in order to trade quantities of this commodity for a determined price, as it happens with many other commodities. Nonetheless, these electricity markets have suffered important changes in the last 30 years approximately as some of them</w:t>
      </w:r>
      <w:r w:rsidR="007A6484">
        <w:rPr>
          <w:lang w:val="en-US"/>
        </w:rPr>
        <w:t xml:space="preserve"> have been deregulated, which allowed the negotiation of electricity through spot prices and, later, through future contracts and other derivatives.</w:t>
      </w:r>
    </w:p>
    <w:p w:rsidR="00F75CA7" w:rsidRDefault="00E6484A" w:rsidP="00F75CA7">
      <w:pPr>
        <w:jc w:val="both"/>
        <w:rPr>
          <w:lang w:val="en-US"/>
        </w:rPr>
      </w:pPr>
      <w:r>
        <w:rPr>
          <w:lang w:val="en-US"/>
        </w:rPr>
        <w:t>Due to the importance that the electric energy has had throughout history, our society has become so dependent on it that t</w:t>
      </w:r>
      <w:r w:rsidR="00157C83" w:rsidRPr="00157C83">
        <w:rPr>
          <w:lang w:val="en-US"/>
        </w:rPr>
        <w:t>he</w:t>
      </w:r>
      <w:r w:rsidR="00157C83">
        <w:rPr>
          <w:lang w:val="en-US"/>
        </w:rPr>
        <w:t xml:space="preserve"> massive</w:t>
      </w:r>
      <w:r w:rsidR="00157C83" w:rsidRPr="00157C83">
        <w:rPr>
          <w:lang w:val="en-US"/>
        </w:rPr>
        <w:t xml:space="preserve"> power outage</w:t>
      </w:r>
      <w:r w:rsidR="00956B0B">
        <w:rPr>
          <w:lang w:val="en-US"/>
        </w:rPr>
        <w:t xml:space="preserve"> that happened in the United States of America</w:t>
      </w:r>
      <w:r w:rsidR="00157C83" w:rsidRPr="00157C83">
        <w:rPr>
          <w:lang w:val="en-US"/>
        </w:rPr>
        <w:t xml:space="preserve"> </w:t>
      </w:r>
      <w:r w:rsidR="00157C83">
        <w:rPr>
          <w:lang w:val="en-US"/>
        </w:rPr>
        <w:t>in 1965, even though it occurred due to the blind trust that people had in big interconnected electricity networks,</w:t>
      </w:r>
      <w:r>
        <w:rPr>
          <w:lang w:val="en-US"/>
        </w:rPr>
        <w:t xml:space="preserve"> and the electricity crisis that happened in the year 2000 in California</w:t>
      </w:r>
      <w:r w:rsidR="00157C83">
        <w:rPr>
          <w:lang w:val="en-US"/>
        </w:rPr>
        <w:t xml:space="preserve"> hinted the importance of electric</w:t>
      </w:r>
      <w:r w:rsidR="00956B0B">
        <w:rPr>
          <w:lang w:val="en-US"/>
        </w:rPr>
        <w:t>ity availability in our society</w:t>
      </w:r>
      <w:r>
        <w:rPr>
          <w:lang w:val="en-US"/>
        </w:rPr>
        <w:t xml:space="preserve"> and of its market regulation</w:t>
      </w:r>
      <w:r w:rsidR="00956B0B">
        <w:rPr>
          <w:lang w:val="en-US"/>
        </w:rPr>
        <w:t>.</w:t>
      </w:r>
      <w:r>
        <w:rPr>
          <w:lang w:val="en-US"/>
        </w:rPr>
        <w:t xml:space="preserve"> Due to all of the above, there has been multiple </w:t>
      </w:r>
      <w:r w:rsidR="00D64478">
        <w:rPr>
          <w:lang w:val="en-US"/>
        </w:rPr>
        <w:t>attempts in order to assure the supply of electric power</w:t>
      </w:r>
      <w:r>
        <w:rPr>
          <w:lang w:val="en-US"/>
        </w:rPr>
        <w:t xml:space="preserve"> about pricing electricity spot prices, future contracts and other </w:t>
      </w:r>
      <w:r w:rsidR="0096511B">
        <w:rPr>
          <w:lang w:val="en-US"/>
        </w:rPr>
        <w:t>derivatives.</w:t>
      </w:r>
    </w:p>
    <w:p w:rsidR="00C617B4" w:rsidRDefault="00C617B4" w:rsidP="00C617B4">
      <w:pPr>
        <w:pStyle w:val="Ttulo1"/>
        <w:numPr>
          <w:ilvl w:val="0"/>
          <w:numId w:val="2"/>
        </w:numPr>
        <w:rPr>
          <w:b/>
          <w:lang w:val="en-US"/>
        </w:rPr>
      </w:pPr>
      <w:r>
        <w:rPr>
          <w:b/>
          <w:lang w:val="en-US"/>
        </w:rPr>
        <w:t>Theoretical Framework</w:t>
      </w:r>
    </w:p>
    <w:p w:rsidR="00F01C0C" w:rsidRPr="0020465D" w:rsidRDefault="00F01C0C" w:rsidP="00F01C0C">
      <w:pPr>
        <w:pStyle w:val="Ttulo2"/>
        <w:numPr>
          <w:ilvl w:val="1"/>
          <w:numId w:val="3"/>
        </w:numPr>
        <w:rPr>
          <w:b/>
          <w:lang w:val="en-US"/>
        </w:rPr>
      </w:pPr>
      <w:r>
        <w:rPr>
          <w:b/>
          <w:lang w:val="en-US"/>
        </w:rPr>
        <w:t>Stochastic Processes</w:t>
      </w:r>
    </w:p>
    <w:p w:rsidR="00F01C0C" w:rsidRDefault="00F01C0C" w:rsidP="00F01C0C">
      <w:pPr>
        <w:jc w:val="both"/>
        <w:rPr>
          <w:lang w:val="en-US"/>
        </w:rPr>
      </w:pPr>
      <w:r>
        <w:rPr>
          <w:lang w:val="en-US"/>
        </w:rPr>
        <w:t>A stochastic process is a variable that evolves over time in a way that is at least in part random</w:t>
      </w:r>
      <w:sdt>
        <w:sdtPr>
          <w:rPr>
            <w:lang w:val="en-US"/>
          </w:rPr>
          <w:id w:val="-1478287168"/>
          <w:citation/>
        </w:sdtPr>
        <w:sdtContent>
          <w:r>
            <w:rPr>
              <w:lang w:val="en-US"/>
            </w:rPr>
            <w:fldChar w:fldCharType="begin"/>
          </w:r>
          <w:r>
            <w:rPr>
              <w:lang w:val="en-US"/>
            </w:rPr>
            <w:instrText xml:space="preserve">CITATION KDi94 \l 9226 </w:instrText>
          </w:r>
          <w:r>
            <w:rPr>
              <w:lang w:val="en-US"/>
            </w:rPr>
            <w:fldChar w:fldCharType="separate"/>
          </w:r>
          <w:r>
            <w:rPr>
              <w:noProof/>
              <w:lang w:val="en-US"/>
            </w:rPr>
            <w:t xml:space="preserve"> </w:t>
          </w:r>
          <w:r w:rsidRPr="00875210">
            <w:rPr>
              <w:noProof/>
              <w:lang w:val="en-US"/>
            </w:rPr>
            <w:t>(Dixit &amp; Pindyck, 1994)</w:t>
          </w:r>
          <w:r>
            <w:rPr>
              <w:lang w:val="en-US"/>
            </w:rPr>
            <w:fldChar w:fldCharType="end"/>
          </w:r>
        </w:sdtContent>
      </w:sdt>
      <w:r>
        <w:rPr>
          <w:lang w:val="en-US"/>
        </w:rPr>
        <w:t>. These stochastic processes can vary in continuous time, as in the variable changes (or could change) its value at every possible moment time, or in discrete time, as in the variable could change its value only in some specific moments of time (ex. Every minute, every hour, every day). One of the simplest stochastic process, that will be shown here to illustrate the idea of what a stochastic process represents, is the discrete-state random walk, which can be expressed as following:</w:t>
      </w:r>
    </w:p>
    <w:p w:rsidR="00F01C0C" w:rsidRPr="001E1CA1" w:rsidRDefault="009B0E42" w:rsidP="00F01C0C">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m:oMathPara>
    </w:p>
    <w:p w:rsidR="00F01C0C" w:rsidRDefault="00F01C0C" w:rsidP="00F01C0C">
      <w:pPr>
        <w:jc w:val="both"/>
        <w:rPr>
          <w:rFonts w:eastAsiaTheme="minorEastAsia"/>
          <w:lang w:val="en-US"/>
        </w:rPr>
      </w:pPr>
      <w:r>
        <w:rPr>
          <w:rFonts w:eastAsiaTheme="minorEastAsia"/>
          <w:lang w:val="en-US"/>
        </w:rPr>
        <w:t xml:space="preserve">As we can see, in this case the variable x is a variable that starts with a known value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rFonts w:eastAsiaTheme="minorEastAsia"/>
          <w:lang w:val="en-US"/>
        </w:rPr>
        <w:t xml:space="preserve"> and in every moment of time </w:t>
      </w:r>
      <m:oMath>
        <m:r>
          <w:rPr>
            <w:rFonts w:ascii="Cambria Math" w:hAnsi="Cambria Math"/>
            <w:lang w:val="en-US"/>
          </w:rPr>
          <m:t>t=1,2,3,…</m:t>
        </m:r>
      </m:oMath>
      <w:r>
        <w:rPr>
          <w:rFonts w:eastAsiaTheme="minorEastAsia"/>
          <w:lang w:val="en-US"/>
        </w:rPr>
        <w:t xml:space="preserve">, it takes a jump from the precious value that is equal to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Pr>
          <w:rFonts w:eastAsiaTheme="minorEastAsia"/>
          <w:lang w:val="en-US"/>
        </w:rPr>
        <w:t xml:space="preserve">, which is a stochastic variable that takes the value of 1 or -1, each with a probability of ½. It is worth noting that every jump that the variable suffers is independent of the previous jump, therefore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Pr>
          <w:rFonts w:eastAsiaTheme="minorEastAsia"/>
          <w:lang w:val="en-US"/>
        </w:rPr>
        <w:t xml:space="preserve"> is completely independent of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t-1</m:t>
            </m:r>
          </m:sub>
        </m:sSub>
      </m:oMath>
      <w:r>
        <w:rPr>
          <w:rFonts w:eastAsiaTheme="minorEastAsia"/>
          <w:lang w:val="en-US"/>
        </w:rPr>
        <w:t xml:space="preserve">and that is why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rFonts w:eastAsiaTheme="minorEastAsia"/>
          <w:lang w:val="en-US"/>
        </w:rPr>
        <w:t xml:space="preserve"> can be written as the way we did.</w:t>
      </w:r>
    </w:p>
    <w:p w:rsidR="00F01C0C" w:rsidRPr="003A7EC8" w:rsidRDefault="00F01C0C" w:rsidP="00F01C0C">
      <w:pPr>
        <w:pStyle w:val="Ttulo3"/>
        <w:numPr>
          <w:ilvl w:val="2"/>
          <w:numId w:val="3"/>
        </w:numPr>
        <w:rPr>
          <w:rFonts w:eastAsiaTheme="minorEastAsia"/>
          <w:color w:val="auto"/>
          <w:lang w:val="en-US"/>
        </w:rPr>
      </w:pPr>
      <w:bookmarkStart w:id="0" w:name="_Ref7519735"/>
      <w:r w:rsidRPr="003A7EC8">
        <w:rPr>
          <w:rFonts w:eastAsiaTheme="minorEastAsia"/>
          <w:color w:val="auto"/>
          <w:lang w:val="en-US"/>
        </w:rPr>
        <w:t>Ornstein-Uhlenbeck</w:t>
      </w:r>
      <w:bookmarkEnd w:id="0"/>
    </w:p>
    <w:p w:rsidR="00F01C0C" w:rsidRDefault="00F01C0C" w:rsidP="00F01C0C">
      <w:pPr>
        <w:jc w:val="both"/>
        <w:rPr>
          <w:lang w:val="en-US"/>
        </w:rPr>
      </w:pPr>
      <w:r>
        <w:rPr>
          <w:lang w:val="en-US"/>
        </w:rPr>
        <w:t xml:space="preserve">A particular stochastic process that is going to be used in this work is the process known as Ornstein-Uhlenbeck. This stochastic process is a mean reversion process, which means that, in the long run, the stochastic variable is going to tend towards a mean. Mean reverting processes are often used to forecast spot prices of commodities such as copper or oil because, while in the short run this prices might fluctuate randomly up and down (due to fluctuation between demand and supply), in the longer run these prices should be drawn back towards the marginal cost of production for the </w:t>
      </w:r>
      <w:r>
        <w:rPr>
          <w:lang w:val="en-US"/>
        </w:rPr>
        <w:lastRenderedPageBreak/>
        <w:t xml:space="preserve">commodity. If a variable </w:t>
      </w:r>
      <m:oMath>
        <m:r>
          <w:rPr>
            <w:rFonts w:ascii="Cambria Math" w:hAnsi="Cambria Math"/>
            <w:lang w:val="en-US"/>
          </w:rPr>
          <m:t>X</m:t>
        </m:r>
      </m:oMath>
      <w:r>
        <w:rPr>
          <w:rFonts w:eastAsiaTheme="minorEastAsia"/>
          <w:lang w:val="en-US"/>
        </w:rPr>
        <w:t xml:space="preserve"> follows a</w:t>
      </w:r>
      <w:r>
        <w:rPr>
          <w:lang w:val="en-US"/>
        </w:rPr>
        <w:t xml:space="preserve"> mean reverting process, its differential can be expressed as follows:</w:t>
      </w:r>
    </w:p>
    <w:p w:rsidR="00F01C0C" w:rsidRPr="00F757A1" w:rsidRDefault="00F01C0C" w:rsidP="00F01C0C">
      <w:pPr>
        <w:jc w:val="both"/>
        <w:rPr>
          <w:rFonts w:eastAsiaTheme="minorEastAsia"/>
          <w:lang w:val="en-US"/>
        </w:rPr>
      </w:pPr>
      <m:oMathPara>
        <m:oMath>
          <m:r>
            <w:rPr>
              <w:rFonts w:ascii="Cambria Math" w:hAnsi="Cambria Math"/>
              <w:lang w:val="en-US"/>
            </w:rPr>
            <m:t>dX=η</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-X</m:t>
              </m:r>
            </m:e>
          </m:d>
          <m:r>
            <w:rPr>
              <w:rFonts w:ascii="Cambria Math" w:hAnsi="Cambria Math"/>
              <w:lang w:val="en-US"/>
            </w:rPr>
            <m:t>dt+</m:t>
          </m:r>
          <m:r>
            <w:rPr>
              <w:rFonts w:ascii="Cambria Math" w:hAnsi="Cambria Math"/>
              <w:lang w:val="en-US"/>
            </w:rPr>
            <m:t>σdz</m:t>
          </m:r>
          <m:r>
            <w:rPr>
              <w:rFonts w:ascii="Cambria Math" w:hAnsi="Cambria Math"/>
              <w:lang w:val="en-US"/>
            </w:rPr>
            <m:t xml:space="preserve"> </m:t>
          </m:r>
        </m:oMath>
      </m:oMathPara>
    </w:p>
    <w:p w:rsidR="00F757A1" w:rsidRPr="00F757A1" w:rsidRDefault="00F757A1" w:rsidP="00F01C0C">
      <w:pPr>
        <w:jc w:val="both"/>
        <w:rPr>
          <w:rFonts w:eastAsiaTheme="minorEastAsia"/>
          <w:color w:val="FF0000"/>
          <w:lang w:val="en-US"/>
        </w:rPr>
      </w:pPr>
      <m:oMathPara>
        <m:oMath>
          <m:r>
            <w:rPr>
              <w:rFonts w:ascii="Cambria Math" w:hAnsi="Cambria Math"/>
              <w:lang w:val="en-US"/>
            </w:rPr>
            <m:t>Where dz=</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ad>
            <m:radPr>
              <m:degHide m:val="1"/>
              <m:ctrlPr>
                <w:rPr>
                  <w:rFonts w:ascii="Cambria Math" w:hAnsi="Cambria Math"/>
                  <w:i/>
                  <w:lang w:val="en-US"/>
                </w:rPr>
              </m:ctrlPr>
            </m:radPr>
            <m:deg/>
            <m:e>
              <m:r>
                <w:rPr>
                  <w:rFonts w:ascii="Cambria Math" w:hAnsi="Cambria Math"/>
                  <w:lang w:val="en-US"/>
                </w:rPr>
                <m:t>dt</m:t>
              </m:r>
            </m:e>
          </m:rad>
          <m:r>
            <w:rPr>
              <w:rFonts w:ascii="Cambria Math" w:hAnsi="Cambria Math"/>
              <w:lang w:val="en-US"/>
            </w:rPr>
            <m:t xml:space="preserve"> and ε~N(0,1)</m:t>
          </m:r>
        </m:oMath>
      </m:oMathPara>
    </w:p>
    <w:p w:rsidR="00F01C0C" w:rsidRDefault="00F01C0C" w:rsidP="00F01C0C">
      <w:pPr>
        <w:jc w:val="both"/>
        <w:rPr>
          <w:lang w:val="en-US"/>
        </w:rPr>
      </w:pPr>
      <w:r>
        <w:rPr>
          <w:rFonts w:eastAsiaTheme="minorEastAsia"/>
          <w:lang w:val="en-US"/>
        </w:rPr>
        <w:t xml:space="preserve">Here </w:t>
      </w:r>
      <m:oMath>
        <m:r>
          <w:rPr>
            <w:rFonts w:ascii="Cambria Math" w:hAnsi="Cambria Math"/>
            <w:lang w:val="en-US"/>
          </w:rPr>
          <m:t>η</m:t>
        </m:r>
      </m:oMath>
      <w:r>
        <w:rPr>
          <w:rFonts w:eastAsiaTheme="minorEastAsia"/>
          <w:lang w:val="en-US"/>
        </w:rPr>
        <w:t xml:space="preserve"> represents the speed of reversion and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is the mean level of </w:t>
      </w:r>
      <m:oMath>
        <m:r>
          <w:rPr>
            <w:rFonts w:ascii="Cambria Math" w:hAnsi="Cambria Math"/>
            <w:lang w:val="en-US"/>
          </w:rPr>
          <m:t>X</m:t>
        </m:r>
      </m:oMath>
      <w:r>
        <w:rPr>
          <w:rFonts w:eastAsiaTheme="minorEastAsia"/>
          <w:lang w:val="en-US"/>
        </w:rPr>
        <w:t xml:space="preserve">, which is the value to which </w:t>
      </w:r>
      <m:oMath>
        <m:r>
          <w:rPr>
            <w:rFonts w:ascii="Cambria Math" w:hAnsi="Cambria Math"/>
            <w:lang w:val="en-US"/>
          </w:rPr>
          <m:t>X</m:t>
        </m:r>
      </m:oMath>
      <w:r>
        <w:rPr>
          <w:rFonts w:eastAsiaTheme="minorEastAsia"/>
          <w:lang w:val="en-US"/>
        </w:rPr>
        <w:t xml:space="preserve"> tends to revert to. Therefore, the change of </w:t>
      </w:r>
      <m:oMath>
        <m:r>
          <w:rPr>
            <w:rFonts w:ascii="Cambria Math" w:hAnsi="Cambria Math"/>
            <w:lang w:val="en-US"/>
          </w:rPr>
          <m:t>X</m:t>
        </m:r>
      </m:oMath>
      <w:r>
        <w:rPr>
          <w:rFonts w:eastAsiaTheme="minorEastAsia"/>
          <w:lang w:val="en-US"/>
        </w:rPr>
        <w:t xml:space="preserve"> is going to depend of </w:t>
      </w:r>
      <m:oMath>
        <m:r>
          <w:rPr>
            <w:rFonts w:ascii="Cambria Math" w:hAnsi="Cambria Math"/>
            <w:lang w:val="en-US"/>
          </w:rPr>
          <m:t>X</m:t>
        </m:r>
      </m:oMath>
      <w:r>
        <w:rPr>
          <w:rFonts w:eastAsiaTheme="minorEastAsia"/>
          <w:lang w:val="en-US"/>
        </w:rPr>
        <w:t xml:space="preserve"> and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If </w:t>
      </w:r>
      <m:oMath>
        <m:r>
          <w:rPr>
            <w:rFonts w:ascii="Cambria Math" w:hAnsi="Cambria Math"/>
            <w:lang w:val="en-US"/>
          </w:rPr>
          <m:t>X</m:t>
        </m:r>
      </m:oMath>
      <w:r>
        <w:rPr>
          <w:rFonts w:eastAsiaTheme="minorEastAsia"/>
          <w:lang w:val="en-US"/>
        </w:rPr>
        <w:t xml:space="preserve"> is greater (smaller) than </w:t>
      </w:r>
      <m:oMath>
        <m:acc>
          <m:accPr>
            <m:chr m:val="̅"/>
            <m:ctrlPr>
              <w:rPr>
                <w:rFonts w:ascii="Cambria Math" w:hAnsi="Cambria Math"/>
                <w:i/>
                <w:lang w:val="en-US"/>
              </w:rPr>
            </m:ctrlPr>
          </m:accPr>
          <m:e>
            <m:r>
              <w:rPr>
                <w:rFonts w:ascii="Cambria Math" w:hAnsi="Cambria Math"/>
                <w:lang w:val="en-US"/>
              </w:rPr>
              <m:t>X</m:t>
            </m:r>
          </m:e>
        </m:acc>
      </m:oMath>
      <w:r>
        <w:rPr>
          <w:rFonts w:eastAsiaTheme="minorEastAsia"/>
          <w:lang w:val="en-US"/>
        </w:rPr>
        <w:t xml:space="preserve">, </w:t>
      </w:r>
      <m:oMath>
        <m:r>
          <w:rPr>
            <w:rFonts w:ascii="Cambria Math" w:hAnsi="Cambria Math"/>
            <w:lang w:val="en-US"/>
          </w:rPr>
          <m:t>X</m:t>
        </m:r>
      </m:oMath>
      <w:r>
        <w:rPr>
          <w:rFonts w:eastAsiaTheme="minorEastAsia"/>
          <w:lang w:val="en-US"/>
        </w:rPr>
        <w:t xml:space="preserve"> is more likely to fall (rise) until it has reached its “normal” level. Also, note that if </w:t>
      </w:r>
      <m:oMath>
        <m:r>
          <w:rPr>
            <w:rFonts w:ascii="Cambria Math" w:hAnsi="Cambria Math"/>
            <w:lang w:val="en-US"/>
          </w:rPr>
          <m:t>η</m:t>
        </m:r>
      </m:oMath>
      <w:r>
        <w:rPr>
          <w:rFonts w:eastAsiaTheme="minorEastAsia"/>
          <w:lang w:val="en-US"/>
        </w:rPr>
        <w:t xml:space="preserve"> has a greater value, </w:t>
      </w:r>
      <m:oMath>
        <m:r>
          <w:rPr>
            <w:rFonts w:ascii="Cambria Math" w:hAnsi="Cambria Math"/>
            <w:lang w:val="en-US"/>
          </w:rPr>
          <m:t>X</m:t>
        </m:r>
      </m:oMath>
      <w:r>
        <w:rPr>
          <w:rFonts w:eastAsiaTheme="minorEastAsia"/>
          <w:lang w:val="en-US"/>
        </w:rPr>
        <w:t xml:space="preserve"> is less likely to drift away from its mean level as it will revert faster towards it.</w:t>
      </w:r>
    </w:p>
    <w:p w:rsidR="00F01C0C" w:rsidRPr="00D70FAE" w:rsidRDefault="00F01C0C" w:rsidP="00F01C0C">
      <w:pPr>
        <w:jc w:val="both"/>
        <w:rPr>
          <w:lang w:val="en-US"/>
        </w:rPr>
      </w:pPr>
      <w:r>
        <w:rPr>
          <w:lang w:val="en-US"/>
        </w:rPr>
        <w:t xml:space="preserve">If you wish to learn more about the Ornstein-Uhlenbeck process or about stochastic processes in general, please consult chapter 3 of </w:t>
      </w:r>
      <w:sdt>
        <w:sdtPr>
          <w:rPr>
            <w:lang w:val="en-US"/>
          </w:rPr>
          <w:id w:val="772981604"/>
          <w:citation/>
        </w:sdtPr>
        <w:sdtContent>
          <w:r>
            <w:rPr>
              <w:lang w:val="en-US"/>
            </w:rPr>
            <w:fldChar w:fldCharType="begin"/>
          </w:r>
          <w:r w:rsidRPr="00277BFB">
            <w:rPr>
              <w:lang w:val="en-US"/>
            </w:rPr>
            <w:instrText xml:space="preserve"> CITATION KDi94 \l 9226 </w:instrText>
          </w:r>
          <w:r>
            <w:rPr>
              <w:lang w:val="en-US"/>
            </w:rPr>
            <w:fldChar w:fldCharType="separate"/>
          </w:r>
          <w:r w:rsidRPr="00277BFB">
            <w:rPr>
              <w:noProof/>
              <w:lang w:val="en-US"/>
            </w:rPr>
            <w:t>(Dixit &amp; Pindyck, 1994)</w:t>
          </w:r>
          <w:r>
            <w:rPr>
              <w:lang w:val="en-US"/>
            </w:rPr>
            <w:fldChar w:fldCharType="end"/>
          </w:r>
        </w:sdtContent>
      </w:sdt>
    </w:p>
    <w:p w:rsidR="00F01C0C" w:rsidRDefault="00F01C0C" w:rsidP="00F01C0C">
      <w:pPr>
        <w:pStyle w:val="Ttulo2"/>
        <w:numPr>
          <w:ilvl w:val="1"/>
          <w:numId w:val="3"/>
        </w:numPr>
        <w:rPr>
          <w:b/>
          <w:lang w:val="en-US"/>
        </w:rPr>
      </w:pPr>
      <w:r>
        <w:rPr>
          <w:b/>
          <w:lang w:val="en-US"/>
        </w:rPr>
        <w:t>Options</w:t>
      </w:r>
    </w:p>
    <w:p w:rsidR="00F01C0C" w:rsidRDefault="00F01C0C" w:rsidP="00F01C0C">
      <w:pPr>
        <w:jc w:val="both"/>
        <w:rPr>
          <w:lang w:val="en-US"/>
        </w:rPr>
      </w:pPr>
      <w:r>
        <w:rPr>
          <w:lang w:val="en-US"/>
        </w:rPr>
        <w:t xml:space="preserve">Financial options are financial assets that allows the owner to buy (Call Option) or sell (Put Option) an underlying asset for a certain price that was established previously (strike price). These options may have a variant in number of times that they can be exercised, the moment in which they can be exercised and/or the conditions that have to be met in order to make the Option exercisable; however, the most popular financial options that are traded in the market are American Options and European Options. American Options allow the owner to exercise their Option once at any time before its expiration date, while the European Options allow the owner to exercise it only during the day of its expiration. In order to access the option to buy or sell a certain amount of an asset at a strike price instead of at a spot price, the Option holder has to pay an Option premium to whoever is “selling” this Option.  </w:t>
      </w:r>
    </w:p>
    <w:p w:rsidR="00F01C0C" w:rsidRDefault="00F01C0C" w:rsidP="00F01C0C">
      <w:pPr>
        <w:jc w:val="both"/>
        <w:rPr>
          <w:lang w:val="en-US"/>
        </w:rPr>
      </w:pPr>
      <w:r>
        <w:rPr>
          <w:lang w:val="en-US"/>
        </w:rPr>
        <w:t>If one owns a Call Option, one will exercise the option to buy the underlying asset at the strike price if it is lower than the spot price, otherwise, one will not exercise the option and buy the asset at the spot price. According to what was said above, the profit earned by owning a Call Option with a strike price of k is given by:</w:t>
      </w:r>
    </w:p>
    <w:p w:rsidR="00F01C0C" w:rsidRPr="00C17659" w:rsidRDefault="00F01C0C" w:rsidP="00F01C0C">
      <w:pPr>
        <w:jc w:val="both"/>
        <w:rPr>
          <w:rFonts w:eastAsiaTheme="minorEastAsia"/>
          <w:lang w:val="en-US"/>
        </w:rPr>
      </w:pPr>
      <m:oMathPara>
        <m:oMath>
          <m:r>
            <w:rPr>
              <w:rFonts w:ascii="Cambria Math" w:hAnsi="Cambria Math"/>
              <w:lang w:val="en-US"/>
            </w:rPr>
            <m:t>Max(S-k,0)</m:t>
          </m:r>
        </m:oMath>
      </m:oMathPara>
    </w:p>
    <w:p w:rsidR="00F01C0C" w:rsidRPr="00C17659" w:rsidRDefault="00F01C0C" w:rsidP="00F01C0C">
      <w:pPr>
        <w:jc w:val="both"/>
        <w:rPr>
          <w:rFonts w:eastAsiaTheme="minorEastAsia"/>
          <w:lang w:val="en-US"/>
        </w:rPr>
      </w:pPr>
      <m:oMathPara>
        <m:oMath>
          <m:r>
            <w:rPr>
              <w:rFonts w:ascii="Cambria Math" w:eastAsiaTheme="minorEastAsia" w:hAnsi="Cambria Math"/>
              <w:lang w:val="en-US"/>
            </w:rPr>
            <m:t>Where S is the Spot price of the asset in the market at the maturation date of the Option</m:t>
          </m:r>
        </m:oMath>
      </m:oMathPara>
    </w:p>
    <w:p w:rsidR="00F01C0C" w:rsidRDefault="00F01C0C" w:rsidP="00F01C0C">
      <w:pPr>
        <w:jc w:val="both"/>
        <w:rPr>
          <w:lang w:val="en-US"/>
        </w:rPr>
      </w:pPr>
      <w:r>
        <w:rPr>
          <w:lang w:val="en-US"/>
        </w:rPr>
        <w:t>And the payoff profile for a Call Option</w:t>
      </w:r>
      <w:r w:rsidR="00901E14">
        <w:rPr>
          <w:lang w:val="en-US"/>
        </w:rPr>
        <w:t xml:space="preserve"> with a strike price of k and an Option premium of y</w:t>
      </w:r>
      <w:r>
        <w:rPr>
          <w:lang w:val="en-US"/>
        </w:rPr>
        <w:t xml:space="preserve">, the moment it can be exercised, is as follows: </w:t>
      </w:r>
    </w:p>
    <w:p w:rsidR="00F01C0C" w:rsidRPr="00963D76" w:rsidRDefault="00F01C0C" w:rsidP="00F01C0C">
      <w:pPr>
        <w:jc w:val="both"/>
        <w:rPr>
          <w:rFonts w:eastAsiaTheme="minorEastAsia"/>
          <w:lang w:val="en-US"/>
        </w:rPr>
      </w:pPr>
    </w:p>
    <w:p w:rsidR="00F01C0C" w:rsidRDefault="00F01C0C" w:rsidP="00F01C0C">
      <w:pPr>
        <w:jc w:val="center"/>
        <w:rPr>
          <w:lang w:val="en-US"/>
        </w:rPr>
      </w:pPr>
      <w:r>
        <w:rPr>
          <w:noProof/>
          <w:lang w:eastAsia="es-CO"/>
        </w:rPr>
        <w:lastRenderedPageBreak/>
        <w:drawing>
          <wp:inline distT="0" distB="0" distL="0" distR="0" wp14:anchorId="35EA3019" wp14:editId="2E84B2F4">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1C0C" w:rsidRDefault="00F01C0C" w:rsidP="00F01C0C">
      <w:pPr>
        <w:jc w:val="both"/>
        <w:rPr>
          <w:lang w:val="en-US"/>
        </w:rPr>
      </w:pPr>
      <w:r>
        <w:rPr>
          <w:lang w:val="en-US"/>
        </w:rPr>
        <w:t>Likewise, if one owns a Put Option, one will exercise the option to sell the underlying asset at the strike price if it is higher than the spot price, otherwise, one will not exercise the option and sell the asset at the spot price.  Therefore, the profit earned by owning a Put Option with a strike price of k is:</w:t>
      </w:r>
    </w:p>
    <w:p w:rsidR="00F01C0C" w:rsidRPr="007E188A" w:rsidRDefault="00F01C0C" w:rsidP="00F01C0C">
      <w:pPr>
        <w:jc w:val="both"/>
        <w:rPr>
          <w:rFonts w:eastAsiaTheme="minorEastAsia"/>
          <w:lang w:val="en-US"/>
        </w:rPr>
      </w:pPr>
      <m:oMathPara>
        <m:oMath>
          <m:r>
            <w:rPr>
              <w:rFonts w:ascii="Cambria Math" w:hAnsi="Cambria Math"/>
              <w:lang w:val="en-US"/>
            </w:rPr>
            <m:t>Max(k-S,0)</m:t>
          </m:r>
        </m:oMath>
      </m:oMathPara>
    </w:p>
    <w:p w:rsidR="00F01C0C" w:rsidRPr="007E188A" w:rsidRDefault="00F01C0C" w:rsidP="00F01C0C">
      <w:pPr>
        <w:jc w:val="both"/>
        <w:rPr>
          <w:rFonts w:eastAsiaTheme="minorEastAsia"/>
          <w:lang w:val="en-US"/>
        </w:rPr>
      </w:pPr>
      <m:oMathPara>
        <m:oMath>
          <m:r>
            <w:rPr>
              <w:rFonts w:ascii="Cambria Math" w:eastAsiaTheme="minorEastAsia" w:hAnsi="Cambria Math"/>
              <w:lang w:val="en-US"/>
            </w:rPr>
            <m:t>Where S is the Spot price of the asset in the market at the maturation date of the Option</m:t>
          </m:r>
        </m:oMath>
      </m:oMathPara>
    </w:p>
    <w:p w:rsidR="00F01C0C" w:rsidRDefault="00F01C0C" w:rsidP="00F01C0C">
      <w:pPr>
        <w:jc w:val="both"/>
        <w:rPr>
          <w:lang w:val="en-US"/>
        </w:rPr>
      </w:pPr>
      <w:r>
        <w:rPr>
          <w:lang w:val="en-US"/>
        </w:rPr>
        <w:t xml:space="preserve">And the payoff profile for a Put Option with a strike price of </w:t>
      </w:r>
      <w:r w:rsidR="00901E14">
        <w:rPr>
          <w:lang w:val="en-US"/>
        </w:rPr>
        <w:t>k</w:t>
      </w:r>
      <w:r w:rsidR="00901E14">
        <w:rPr>
          <w:rFonts w:eastAsiaTheme="minorEastAsia"/>
          <w:lang w:val="en-US"/>
        </w:rPr>
        <w:t xml:space="preserve"> and an Option premium of y</w:t>
      </w:r>
      <w:r>
        <w:rPr>
          <w:lang w:val="en-US"/>
        </w:rPr>
        <w:t>, the moment it can be exercised, is as follows:</w:t>
      </w:r>
    </w:p>
    <w:p w:rsidR="00F01C0C" w:rsidRPr="007B5584" w:rsidRDefault="00F01C0C" w:rsidP="00F01C0C">
      <w:pPr>
        <w:jc w:val="center"/>
        <w:rPr>
          <w:lang w:val="en-US"/>
        </w:rPr>
      </w:pPr>
      <w:r>
        <w:rPr>
          <w:noProof/>
          <w:lang w:eastAsia="es-CO"/>
        </w:rPr>
        <w:drawing>
          <wp:inline distT="0" distB="0" distL="0" distR="0" wp14:anchorId="6D2BE48A" wp14:editId="2DF75164">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1C0C" w:rsidRPr="003B6BAC" w:rsidRDefault="00F01C0C" w:rsidP="00F01C0C">
      <w:pPr>
        <w:jc w:val="both"/>
        <w:rPr>
          <w:lang w:val="en-US"/>
        </w:rPr>
      </w:pPr>
      <w:r>
        <w:rPr>
          <w:lang w:val="en-US"/>
        </w:rPr>
        <w:t xml:space="preserve">One of the easiest ways for pricing Options is through an estimation of the stochastic process that is followed by the prices of the underlying asset and, then, using Monte Carlo simulations to create multiple forecasts of paths that these prices might </w:t>
      </w:r>
      <w:r w:rsidRPr="000B1AC1">
        <w:rPr>
          <w:lang w:val="en-US"/>
        </w:rPr>
        <w:t xml:space="preserve">follow and one uses the profit function of said </w:t>
      </w:r>
      <w:r w:rsidRPr="000B1AC1">
        <w:rPr>
          <w:lang w:val="en-US"/>
        </w:rPr>
        <w:lastRenderedPageBreak/>
        <w:t xml:space="preserve">Option </w:t>
      </w:r>
      <w:r>
        <w:rPr>
          <w:lang w:val="en-US"/>
        </w:rPr>
        <w:t xml:space="preserve">in order to calculate the average present value of this profit throughout the simulated price paths. Using this approach, there are two ways of pricing the options for a certain underlying asset: using real price growth and using risk neutral price growth; if neutral risk growth is used, one assumes that the mean of growth of the prices for the underlying asset is going to be equal to a risk free rate because there would be opportunity for arbitrage if one knew that the mean growth is going to be higher or lower than this risk free rate, on the other hand, if real price growth is used, one does not take into account the previous assumption and makes a new assumption that the prices, during the </w:t>
      </w:r>
      <w:r w:rsidRPr="004815C3">
        <w:rPr>
          <w:lang w:val="en-US"/>
        </w:rPr>
        <w:t>simulation time horizon</w:t>
      </w:r>
      <w:r>
        <w:rPr>
          <w:lang w:val="en-US"/>
        </w:rPr>
        <w:t xml:space="preserve">, are going to have a mean growth that is equal to the mean growth that they have had historically. </w:t>
      </w:r>
    </w:p>
    <w:p w:rsidR="00F01C0C" w:rsidRPr="00F01C0C" w:rsidRDefault="00F01C0C" w:rsidP="00F01C0C">
      <w:pPr>
        <w:pStyle w:val="Ttulo1"/>
        <w:numPr>
          <w:ilvl w:val="0"/>
          <w:numId w:val="2"/>
        </w:numPr>
        <w:rPr>
          <w:lang w:val="en-US"/>
        </w:rPr>
      </w:pPr>
      <w:r>
        <w:rPr>
          <w:lang w:val="en-US"/>
        </w:rPr>
        <w:t>Electricity Production in Colombia</w:t>
      </w:r>
    </w:p>
    <w:p w:rsidR="009346C5" w:rsidRPr="00D32268" w:rsidRDefault="009346C5" w:rsidP="00F01C0C">
      <w:pPr>
        <w:pStyle w:val="Ttulo2"/>
        <w:numPr>
          <w:ilvl w:val="1"/>
          <w:numId w:val="8"/>
        </w:numPr>
        <w:rPr>
          <w:b/>
          <w:color w:val="FF0000"/>
          <w:lang w:val="en-US"/>
        </w:rPr>
      </w:pPr>
      <w:r w:rsidRPr="00D32268">
        <w:rPr>
          <w:b/>
          <w:color w:val="FF0000"/>
          <w:lang w:val="en-US"/>
        </w:rPr>
        <w:t>Electricity</w:t>
      </w:r>
      <w:r w:rsidR="000F4D9C">
        <w:rPr>
          <w:b/>
          <w:color w:val="FF0000"/>
          <w:lang w:val="en-US"/>
        </w:rPr>
        <w:t xml:space="preserve"> Production Technologies</w:t>
      </w:r>
      <w:r w:rsidRPr="00D32268">
        <w:rPr>
          <w:b/>
          <w:color w:val="FF0000"/>
          <w:lang w:val="en-US"/>
        </w:rPr>
        <w:t xml:space="preserve"> in Colombia</w:t>
      </w:r>
    </w:p>
    <w:p w:rsidR="00BA5A0F" w:rsidRDefault="009346C5" w:rsidP="00F75CA7">
      <w:pPr>
        <w:jc w:val="both"/>
        <w:rPr>
          <w:lang w:val="en-US"/>
        </w:rPr>
      </w:pPr>
      <w:r>
        <w:rPr>
          <w:lang w:val="en-US"/>
        </w:rPr>
        <w:t>Colombia is a</w:t>
      </w:r>
      <w:r w:rsidR="00FF1F78">
        <w:rPr>
          <w:lang w:val="en-US"/>
        </w:rPr>
        <w:t xml:space="preserve"> Hispanic</w:t>
      </w:r>
      <w:r>
        <w:rPr>
          <w:lang w:val="en-US"/>
        </w:rPr>
        <w:t xml:space="preserve"> country</w:t>
      </w:r>
      <w:r w:rsidR="00FF1F78">
        <w:rPr>
          <w:lang w:val="en-US"/>
        </w:rPr>
        <w:t xml:space="preserve"> that is located in the northern edge of South America, just above </w:t>
      </w:r>
      <w:r>
        <w:rPr>
          <w:lang w:val="en-US"/>
        </w:rPr>
        <w:t xml:space="preserve">the line of the </w:t>
      </w:r>
      <w:r w:rsidR="00C00C4D">
        <w:rPr>
          <w:lang w:val="en-US"/>
        </w:rPr>
        <w:t>equator</w:t>
      </w:r>
      <w:r w:rsidR="00FF1F78">
        <w:rPr>
          <w:lang w:val="en-US"/>
        </w:rPr>
        <w:t xml:space="preserve">. Being in the tropical region, Colombia does not have </w:t>
      </w:r>
      <w:r w:rsidR="00E6325E">
        <w:rPr>
          <w:lang w:val="en-US"/>
        </w:rPr>
        <w:t xml:space="preserve">traditional subtropical calendar seasons (e.g spring, summer, etc.) but it suffers tropical seasons of drought and wetness. As other tropical countries in South America, Colombia </w:t>
      </w:r>
      <w:r>
        <w:rPr>
          <w:lang w:val="en-US"/>
        </w:rPr>
        <w:t>has a va</w:t>
      </w:r>
      <w:r w:rsidR="00304FBF">
        <w:rPr>
          <w:lang w:val="en-US"/>
        </w:rPr>
        <w:t>st quantity of hydric resources which, among other things,</w:t>
      </w:r>
      <w:r>
        <w:rPr>
          <w:lang w:val="en-US"/>
        </w:rPr>
        <w:t xml:space="preserve"> </w:t>
      </w:r>
      <w:r w:rsidR="00304FBF">
        <w:rPr>
          <w:lang w:val="en-US"/>
        </w:rPr>
        <w:t>has helped the country to produce big amounts of electric energy via hydroelectric plants.</w:t>
      </w:r>
      <w:r w:rsidR="0026275F">
        <w:rPr>
          <w:lang w:val="en-US"/>
        </w:rPr>
        <w:t xml:space="preserve"> Of the 66,</w:t>
      </w:r>
      <w:r w:rsidR="000F26E8">
        <w:rPr>
          <w:lang w:val="en-US"/>
        </w:rPr>
        <w:t>667</w:t>
      </w:r>
      <w:r w:rsidR="0026275F">
        <w:rPr>
          <w:lang w:val="en-US"/>
        </w:rPr>
        <w:t xml:space="preserve"> GWh of</w:t>
      </w:r>
      <w:r w:rsidR="00093131">
        <w:rPr>
          <w:lang w:val="en-US"/>
        </w:rPr>
        <w:t xml:space="preserve"> electric </w:t>
      </w:r>
      <w:r w:rsidR="0026275F">
        <w:rPr>
          <w:lang w:val="en-US"/>
        </w:rPr>
        <w:t>energy produced</w:t>
      </w:r>
      <w:r w:rsidR="00093131">
        <w:rPr>
          <w:lang w:val="en-US"/>
        </w:rPr>
        <w:t xml:space="preserve"> in</w:t>
      </w:r>
      <w:r w:rsidR="009E5094">
        <w:rPr>
          <w:lang w:val="en-US"/>
        </w:rPr>
        <w:t xml:space="preserve"> Colombia in</w:t>
      </w:r>
      <w:r w:rsidR="000F26E8">
        <w:rPr>
          <w:lang w:val="en-US"/>
        </w:rPr>
        <w:t xml:space="preserve"> 2015, 80.3</w:t>
      </w:r>
      <w:r w:rsidR="00093131">
        <w:rPr>
          <w:lang w:val="en-US"/>
        </w:rPr>
        <w:t>% of it was produced hydraulically</w:t>
      </w:r>
      <w:sdt>
        <w:sdtPr>
          <w:rPr>
            <w:lang w:val="en-US"/>
          </w:rPr>
          <w:id w:val="-1754347511"/>
          <w:citation/>
        </w:sdtPr>
        <w:sdtContent>
          <w:r w:rsidR="006F5F46">
            <w:rPr>
              <w:lang w:val="en-US"/>
            </w:rPr>
            <w:fldChar w:fldCharType="begin"/>
          </w:r>
          <w:r w:rsidR="00E263ED">
            <w:rPr>
              <w:lang w:val="en-US"/>
            </w:rPr>
            <w:instrText xml:space="preserve">CITATION XM17 \l 9226 </w:instrText>
          </w:r>
          <w:r w:rsidR="006F5F46">
            <w:rPr>
              <w:lang w:val="en-US"/>
            </w:rPr>
            <w:fldChar w:fldCharType="separate"/>
          </w:r>
          <w:r w:rsidR="00E263ED">
            <w:rPr>
              <w:noProof/>
              <w:lang w:val="en-US"/>
            </w:rPr>
            <w:t xml:space="preserve"> (XM, 2017)</w:t>
          </w:r>
          <w:r w:rsidR="006F5F46">
            <w:rPr>
              <w:lang w:val="en-US"/>
            </w:rPr>
            <w:fldChar w:fldCharType="end"/>
          </w:r>
        </w:sdtContent>
      </w:sdt>
      <w:r w:rsidR="00093131">
        <w:rPr>
          <w:lang w:val="en-US"/>
        </w:rPr>
        <w:t>.</w:t>
      </w:r>
      <w:r w:rsidR="000F26E8">
        <w:rPr>
          <w:lang w:val="en-US"/>
        </w:rPr>
        <w:t xml:space="preserve"> Moreover, in 2017</w:t>
      </w:r>
      <w:r w:rsidR="00DF2288">
        <w:rPr>
          <w:lang w:val="en-US"/>
        </w:rPr>
        <w:t xml:space="preserve"> the technologies for electricity production that were invested in for expansion were dominantly hydraulic</w:t>
      </w:r>
      <w:sdt>
        <w:sdtPr>
          <w:rPr>
            <w:lang w:val="en-US"/>
          </w:rPr>
          <w:id w:val="2049338353"/>
          <w:citation/>
        </w:sdtPr>
        <w:sdtContent>
          <w:r w:rsidR="00E263ED">
            <w:rPr>
              <w:lang w:val="en-US"/>
            </w:rPr>
            <w:fldChar w:fldCharType="begin"/>
          </w:r>
          <w:r w:rsidR="00E263ED">
            <w:rPr>
              <w:lang w:val="en-US"/>
            </w:rPr>
            <w:instrText xml:space="preserve">CITATION XM17 \l 9226 </w:instrText>
          </w:r>
          <w:r w:rsidR="00E263ED">
            <w:rPr>
              <w:lang w:val="en-US"/>
            </w:rPr>
            <w:fldChar w:fldCharType="separate"/>
          </w:r>
          <w:r w:rsidR="00E263ED">
            <w:rPr>
              <w:noProof/>
              <w:lang w:val="en-US"/>
            </w:rPr>
            <w:t xml:space="preserve"> (XM, 2017)</w:t>
          </w:r>
          <w:r w:rsidR="00E263ED">
            <w:rPr>
              <w:lang w:val="en-US"/>
            </w:rPr>
            <w:fldChar w:fldCharType="end"/>
          </w:r>
        </w:sdtContent>
      </w:sdt>
      <w:r w:rsidR="00DF2288">
        <w:rPr>
          <w:lang w:val="en-US"/>
        </w:rPr>
        <w:t xml:space="preserve">, </w:t>
      </w:r>
      <w:r w:rsidR="000F26E8">
        <w:rPr>
          <w:lang w:val="en-US"/>
        </w:rPr>
        <w:t xml:space="preserve">as it is </w:t>
      </w:r>
      <w:r w:rsidR="000F26E8" w:rsidRPr="000F26E8">
        <w:rPr>
          <w:lang w:val="en-US"/>
        </w:rPr>
        <w:t>shown in</w:t>
      </w:r>
      <w:r w:rsidR="000F26E8">
        <w:rPr>
          <w:lang w:val="en-US"/>
        </w:rPr>
        <w:t xml:space="preserve"> </w:t>
      </w:r>
      <w:r w:rsidR="000F26E8" w:rsidRPr="000F26E8">
        <w:rPr>
          <w:i/>
          <w:lang w:val="en-US"/>
        </w:rPr>
        <w:fldChar w:fldCharType="begin"/>
      </w:r>
      <w:r w:rsidR="000F26E8" w:rsidRPr="000F26E8">
        <w:rPr>
          <w:i/>
          <w:lang w:val="en-US"/>
        </w:rPr>
        <w:instrText xml:space="preserve"> REF _Ref7682639 \h </w:instrText>
      </w:r>
      <w:r w:rsidR="000F26E8">
        <w:rPr>
          <w:i/>
          <w:lang w:val="en-US"/>
        </w:rPr>
        <w:instrText xml:space="preserve"> \* MERGEFORMAT </w:instrText>
      </w:r>
      <w:r w:rsidR="000F26E8" w:rsidRPr="000F26E8">
        <w:rPr>
          <w:i/>
          <w:lang w:val="en-US"/>
        </w:rPr>
      </w:r>
      <w:r w:rsidR="000F26E8" w:rsidRPr="000F26E8">
        <w:rPr>
          <w:i/>
          <w:lang w:val="en-US"/>
        </w:rPr>
        <w:fldChar w:fldCharType="separate"/>
      </w:r>
      <w:r w:rsidR="000F26E8" w:rsidRPr="000F26E8">
        <w:rPr>
          <w:i/>
          <w:lang w:val="en-US"/>
        </w:rPr>
        <w:t xml:space="preserve">Figure </w:t>
      </w:r>
      <w:r w:rsidR="000F26E8" w:rsidRPr="000F26E8">
        <w:rPr>
          <w:i/>
          <w:noProof/>
          <w:lang w:val="en-US"/>
        </w:rPr>
        <w:t>1</w:t>
      </w:r>
      <w:r w:rsidR="000F26E8" w:rsidRPr="000F26E8">
        <w:rPr>
          <w:i/>
          <w:lang w:val="en-US"/>
        </w:rPr>
        <w:fldChar w:fldCharType="end"/>
      </w:r>
    </w:p>
    <w:p w:rsidR="006F5F46" w:rsidRDefault="006F5F46" w:rsidP="006F5F46">
      <w:pPr>
        <w:keepNext/>
        <w:jc w:val="center"/>
      </w:pPr>
      <w:r>
        <w:rPr>
          <w:noProof/>
          <w:lang w:eastAsia="es-CO"/>
        </w:rPr>
        <w:drawing>
          <wp:inline distT="0" distB="0" distL="0" distR="0" wp14:anchorId="234DD653" wp14:editId="0BACDFF6">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5A0F" w:rsidRDefault="006F5F46" w:rsidP="006F5F46">
      <w:pPr>
        <w:pStyle w:val="Descripcin"/>
        <w:jc w:val="center"/>
        <w:rPr>
          <w:lang w:val="en-US"/>
        </w:rPr>
      </w:pPr>
      <w:bookmarkStart w:id="1" w:name="_Ref7682639"/>
      <w:bookmarkStart w:id="2" w:name="_Ref7682629"/>
      <w:r w:rsidRPr="006F5F46">
        <w:rPr>
          <w:lang w:val="en-US"/>
        </w:rPr>
        <w:t xml:space="preserve">Figure </w:t>
      </w:r>
      <w:r>
        <w:fldChar w:fldCharType="begin"/>
      </w:r>
      <w:r w:rsidRPr="006F5F46">
        <w:rPr>
          <w:lang w:val="en-US"/>
        </w:rPr>
        <w:instrText xml:space="preserve"> SEQ Figure \* ARABIC </w:instrText>
      </w:r>
      <w:r>
        <w:fldChar w:fldCharType="separate"/>
      </w:r>
      <w:r w:rsidR="00784AE9">
        <w:rPr>
          <w:noProof/>
          <w:lang w:val="en-US"/>
        </w:rPr>
        <w:t>1</w:t>
      </w:r>
      <w:r>
        <w:fldChar w:fldCharType="end"/>
      </w:r>
      <w:bookmarkEnd w:id="1"/>
      <w:r w:rsidR="00116D4D" w:rsidRPr="00116D4D">
        <w:rPr>
          <w:lang w:val="en-US"/>
        </w:rPr>
        <w:t>:</w:t>
      </w:r>
      <w:r w:rsidRPr="006F5F46">
        <w:rPr>
          <w:lang w:val="en-US"/>
        </w:rPr>
        <w:t xml:space="preserve"> </w:t>
      </w:r>
      <w:r w:rsidR="000F26E8">
        <w:rPr>
          <w:lang w:val="en-US"/>
        </w:rPr>
        <w:t xml:space="preserve">Change </w:t>
      </w:r>
      <w:r w:rsidRPr="006F5F46">
        <w:rPr>
          <w:lang w:val="en-US"/>
        </w:rPr>
        <w:t>in Colombian National Interconnected System by technology</w:t>
      </w:r>
      <w:r w:rsidR="000F26E8">
        <w:rPr>
          <w:lang w:val="en-US"/>
        </w:rPr>
        <w:t xml:space="preserve"> in 2017</w:t>
      </w:r>
      <w:bookmarkEnd w:id="2"/>
      <w:r w:rsidR="00E263ED">
        <w:rPr>
          <w:lang w:val="en-US"/>
        </w:rPr>
        <w:t xml:space="preserve"> according to expansion projects</w:t>
      </w:r>
    </w:p>
    <w:p w:rsidR="0096511B" w:rsidRDefault="009E5094" w:rsidP="00F75CA7">
      <w:pPr>
        <w:jc w:val="both"/>
        <w:rPr>
          <w:lang w:val="en-US"/>
        </w:rPr>
      </w:pPr>
      <w:r>
        <w:rPr>
          <w:lang w:val="en-US"/>
        </w:rPr>
        <w:t xml:space="preserve">Even though hydraulically generated electricity is relatively cheap due to it only needing an initial investment and a maintenance cost, the quantity of energy produced this way is deeply impacted by external events that rise or </w:t>
      </w:r>
      <w:r w:rsidR="004B72C3">
        <w:rPr>
          <w:lang w:val="en-US"/>
        </w:rPr>
        <w:t>a decrease of available flowing water.</w:t>
      </w:r>
      <w:r w:rsidR="00850271">
        <w:rPr>
          <w:lang w:val="en-US"/>
        </w:rPr>
        <w:t xml:space="preserve"> This profound dependence of hydric resources in energy production in Colombia can be seen in</w:t>
      </w:r>
      <w:r w:rsidR="00BA7C3C">
        <w:rPr>
          <w:lang w:val="en-US"/>
        </w:rPr>
        <w:t xml:space="preserve"> </w:t>
      </w:r>
      <w:r w:rsidR="00BA7C3C" w:rsidRPr="00BA7C3C">
        <w:rPr>
          <w:i/>
          <w:lang w:val="en-US"/>
        </w:rPr>
        <w:fldChar w:fldCharType="begin"/>
      </w:r>
      <w:r w:rsidR="00BA7C3C" w:rsidRPr="00BA7C3C">
        <w:rPr>
          <w:i/>
          <w:lang w:val="en-US"/>
        </w:rPr>
        <w:instrText xml:space="preserve"> REF _Ref7684622 \h </w:instrText>
      </w:r>
      <w:r w:rsidR="00BA7C3C">
        <w:rPr>
          <w:i/>
          <w:lang w:val="en-US"/>
        </w:rPr>
        <w:instrText xml:space="preserve"> \* MERGEFORMAT </w:instrText>
      </w:r>
      <w:r w:rsidR="00BA7C3C" w:rsidRPr="00BA7C3C">
        <w:rPr>
          <w:i/>
          <w:lang w:val="en-US"/>
        </w:rPr>
      </w:r>
      <w:r w:rsidR="00BA7C3C" w:rsidRPr="00BA7C3C">
        <w:rPr>
          <w:i/>
          <w:lang w:val="en-US"/>
        </w:rPr>
        <w:fldChar w:fldCharType="separate"/>
      </w:r>
      <w:r w:rsidR="00BA7C3C" w:rsidRPr="00BA7C3C">
        <w:rPr>
          <w:i/>
          <w:lang w:val="en-US"/>
        </w:rPr>
        <w:t xml:space="preserve">Figure </w:t>
      </w:r>
      <w:r w:rsidR="00BA7C3C" w:rsidRPr="00BA7C3C">
        <w:rPr>
          <w:i/>
          <w:noProof/>
          <w:lang w:val="en-US"/>
        </w:rPr>
        <w:t>2</w:t>
      </w:r>
      <w:r w:rsidR="00BA7C3C" w:rsidRPr="00BA7C3C">
        <w:rPr>
          <w:i/>
          <w:lang w:val="en-US"/>
        </w:rPr>
        <w:fldChar w:fldCharType="end"/>
      </w:r>
      <w:r w:rsidR="00850271">
        <w:rPr>
          <w:lang w:val="en-US"/>
        </w:rPr>
        <w:t xml:space="preserve"> and</w:t>
      </w:r>
      <w:r w:rsidR="00BA7C3C">
        <w:rPr>
          <w:lang w:val="en-US"/>
        </w:rPr>
        <w:t xml:space="preserve"> </w:t>
      </w:r>
      <w:r w:rsidR="00BA7C3C" w:rsidRPr="00BA7C3C">
        <w:rPr>
          <w:i/>
          <w:lang w:val="en-US"/>
        </w:rPr>
        <w:fldChar w:fldCharType="begin"/>
      </w:r>
      <w:r w:rsidR="00BA7C3C" w:rsidRPr="00BA7C3C">
        <w:rPr>
          <w:i/>
          <w:lang w:val="en-US"/>
        </w:rPr>
        <w:instrText xml:space="preserve"> REF _Ref7684632 \h </w:instrText>
      </w:r>
      <w:r w:rsidR="00BA7C3C">
        <w:rPr>
          <w:i/>
          <w:lang w:val="en-US"/>
        </w:rPr>
        <w:instrText xml:space="preserve"> \* MERGEFORMAT </w:instrText>
      </w:r>
      <w:r w:rsidR="00BA7C3C" w:rsidRPr="00BA7C3C">
        <w:rPr>
          <w:i/>
          <w:lang w:val="en-US"/>
        </w:rPr>
      </w:r>
      <w:r w:rsidR="00BA7C3C" w:rsidRPr="00BA7C3C">
        <w:rPr>
          <w:i/>
          <w:lang w:val="en-US"/>
        </w:rPr>
        <w:fldChar w:fldCharType="separate"/>
      </w:r>
      <w:r w:rsidR="00BA7C3C" w:rsidRPr="00BA7C3C">
        <w:rPr>
          <w:i/>
          <w:lang w:val="en-US"/>
        </w:rPr>
        <w:t xml:space="preserve">Figure </w:t>
      </w:r>
      <w:r w:rsidR="00BA7C3C" w:rsidRPr="00BA7C3C">
        <w:rPr>
          <w:i/>
          <w:noProof/>
          <w:lang w:val="en-US"/>
        </w:rPr>
        <w:t>3</w:t>
      </w:r>
      <w:r w:rsidR="00BA7C3C" w:rsidRPr="00BA7C3C">
        <w:rPr>
          <w:i/>
          <w:lang w:val="en-US"/>
        </w:rPr>
        <w:fldChar w:fldCharType="end"/>
      </w:r>
      <w:r w:rsidR="00850271">
        <w:rPr>
          <w:lang w:val="en-US"/>
        </w:rPr>
        <w:t xml:space="preserve"> which shows the participation in the Colombian electricity matrix by technology when there is a wet period and </w:t>
      </w:r>
      <w:r w:rsidR="00850271">
        <w:rPr>
          <w:lang w:val="en-US"/>
        </w:rPr>
        <w:lastRenderedPageBreak/>
        <w:t>a drought period, respectively</w:t>
      </w:r>
      <w:sdt>
        <w:sdtPr>
          <w:rPr>
            <w:lang w:val="en-US"/>
          </w:rPr>
          <w:id w:val="-683747472"/>
          <w:citation/>
        </w:sdtPr>
        <w:sdtContent>
          <w:r w:rsidR="00BA7C3C">
            <w:rPr>
              <w:lang w:val="en-US"/>
            </w:rPr>
            <w:fldChar w:fldCharType="begin"/>
          </w:r>
          <w:r w:rsidR="00BA7C3C" w:rsidRPr="00BA7C3C">
            <w:rPr>
              <w:lang w:val="en-US"/>
            </w:rPr>
            <w:instrText xml:space="preserve"> CITATION XM17 \l 9226 </w:instrText>
          </w:r>
          <w:r w:rsidR="00BA7C3C">
            <w:rPr>
              <w:lang w:val="en-US"/>
            </w:rPr>
            <w:fldChar w:fldCharType="separate"/>
          </w:r>
          <w:r w:rsidR="00BA7C3C" w:rsidRPr="00BA7C3C">
            <w:rPr>
              <w:noProof/>
              <w:lang w:val="en-US"/>
            </w:rPr>
            <w:t xml:space="preserve"> (XM, 2017)</w:t>
          </w:r>
          <w:r w:rsidR="00BA7C3C">
            <w:rPr>
              <w:lang w:val="en-US"/>
            </w:rPr>
            <w:fldChar w:fldCharType="end"/>
          </w:r>
        </w:sdtContent>
      </w:sdt>
      <w:r w:rsidR="00850271">
        <w:rPr>
          <w:lang w:val="en-US"/>
        </w:rPr>
        <w:t>.</w:t>
      </w:r>
      <w:r w:rsidR="004543AD">
        <w:rPr>
          <w:lang w:val="en-US"/>
        </w:rPr>
        <w:t xml:space="preserve"> </w:t>
      </w:r>
      <w:r w:rsidR="005E1BEC">
        <w:rPr>
          <w:lang w:val="en-US"/>
        </w:rPr>
        <w:t>What was said above</w:t>
      </w:r>
      <w:r w:rsidR="004543AD">
        <w:rPr>
          <w:lang w:val="en-US"/>
        </w:rPr>
        <w:t xml:space="preserve"> makes Colombia highly vulnerable against</w:t>
      </w:r>
      <w:r>
        <w:rPr>
          <w:lang w:val="en-US"/>
        </w:rPr>
        <w:t xml:space="preserve"> </w:t>
      </w:r>
      <w:r w:rsidR="004543AD" w:rsidRPr="000F4D9C">
        <w:rPr>
          <w:lang w:val="en-US"/>
        </w:rPr>
        <w:t>t</w:t>
      </w:r>
      <w:r w:rsidR="001530F2" w:rsidRPr="000F4D9C">
        <w:rPr>
          <w:lang w:val="en-US"/>
        </w:rPr>
        <w:t>he</w:t>
      </w:r>
      <w:r w:rsidR="000F4D9C" w:rsidRPr="000F4D9C">
        <w:rPr>
          <w:lang w:val="en-US"/>
        </w:rPr>
        <w:t xml:space="preserve"> El Niño/Southern Oscillation, which is a</w:t>
      </w:r>
      <w:r w:rsidR="001530F2" w:rsidRPr="000F4D9C">
        <w:rPr>
          <w:lang w:val="en-US"/>
        </w:rPr>
        <w:t xml:space="preserve"> major climatic phenomenon that impact th</w:t>
      </w:r>
      <w:r w:rsidR="000F4D9C" w:rsidRPr="000F4D9C">
        <w:rPr>
          <w:lang w:val="en-US"/>
        </w:rPr>
        <w:t>e</w:t>
      </w:r>
      <w:r w:rsidR="001530F2" w:rsidRPr="000F4D9C">
        <w:rPr>
          <w:lang w:val="en-US"/>
        </w:rPr>
        <w:t xml:space="preserve"> availability of water in Colombia.</w:t>
      </w:r>
      <w:r w:rsidR="00D80018">
        <w:rPr>
          <w:lang w:val="en-US"/>
        </w:rPr>
        <w:t xml:space="preserve"> </w:t>
      </w:r>
    </w:p>
    <w:p w:rsidR="00BA7C3C" w:rsidRDefault="002A44A1" w:rsidP="00BA7C3C">
      <w:pPr>
        <w:keepNext/>
        <w:jc w:val="center"/>
      </w:pPr>
      <w:r>
        <w:rPr>
          <w:noProof/>
          <w:lang w:eastAsia="es-CO"/>
        </w:rPr>
        <w:drawing>
          <wp:inline distT="0" distB="0" distL="0" distR="0" wp14:anchorId="682D7CEC" wp14:editId="08720BCF">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A44A1" w:rsidRDefault="00BA7C3C" w:rsidP="00BA7C3C">
      <w:pPr>
        <w:pStyle w:val="Descripcin"/>
        <w:jc w:val="center"/>
        <w:rPr>
          <w:lang w:val="en-US"/>
        </w:rPr>
      </w:pPr>
      <w:bookmarkStart w:id="3" w:name="_Ref7684622"/>
      <w:r w:rsidRPr="00BA7C3C">
        <w:rPr>
          <w:lang w:val="en-US"/>
        </w:rPr>
        <w:t xml:space="preserve">Figure </w:t>
      </w:r>
      <w:r>
        <w:fldChar w:fldCharType="begin"/>
      </w:r>
      <w:r w:rsidRPr="00BA7C3C">
        <w:rPr>
          <w:lang w:val="en-US"/>
        </w:rPr>
        <w:instrText xml:space="preserve"> SEQ Figure \* ARABIC </w:instrText>
      </w:r>
      <w:r>
        <w:fldChar w:fldCharType="separate"/>
      </w:r>
      <w:r w:rsidR="00784AE9">
        <w:rPr>
          <w:noProof/>
          <w:lang w:val="en-US"/>
        </w:rPr>
        <w:t>2</w:t>
      </w:r>
      <w:r>
        <w:fldChar w:fldCharType="end"/>
      </w:r>
      <w:bookmarkEnd w:id="3"/>
      <w:r w:rsidR="005C1F61" w:rsidRPr="005C1F61">
        <w:rPr>
          <w:lang w:val="en-US"/>
        </w:rPr>
        <w:t xml:space="preserve">: </w:t>
      </w:r>
      <w:r w:rsidRPr="00BA7C3C">
        <w:rPr>
          <w:lang w:val="en-US"/>
        </w:rPr>
        <w:t>Participation in the Colombian electric matrix by technology in a wet period</w:t>
      </w:r>
    </w:p>
    <w:p w:rsidR="00BA7C3C" w:rsidRDefault="002A44A1" w:rsidP="00BA7C3C">
      <w:pPr>
        <w:keepNext/>
        <w:jc w:val="center"/>
      </w:pPr>
      <w:r>
        <w:rPr>
          <w:noProof/>
          <w:lang w:eastAsia="es-CO"/>
        </w:rPr>
        <w:drawing>
          <wp:inline distT="0" distB="0" distL="0" distR="0" wp14:anchorId="038A7C5F" wp14:editId="7E215A8B">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A44A1" w:rsidRDefault="00BA7C3C" w:rsidP="00BA7C3C">
      <w:pPr>
        <w:pStyle w:val="Descripcin"/>
        <w:jc w:val="center"/>
        <w:rPr>
          <w:lang w:val="en-US"/>
        </w:rPr>
      </w:pPr>
      <w:bookmarkStart w:id="4" w:name="_Ref7684632"/>
      <w:r w:rsidRPr="00BA7C3C">
        <w:rPr>
          <w:lang w:val="en-US"/>
        </w:rPr>
        <w:t xml:space="preserve">Figure </w:t>
      </w:r>
      <w:r>
        <w:fldChar w:fldCharType="begin"/>
      </w:r>
      <w:r w:rsidRPr="00BA7C3C">
        <w:rPr>
          <w:lang w:val="en-US"/>
        </w:rPr>
        <w:instrText xml:space="preserve"> SEQ Figure \* ARABIC </w:instrText>
      </w:r>
      <w:r>
        <w:fldChar w:fldCharType="separate"/>
      </w:r>
      <w:r w:rsidR="00784AE9">
        <w:rPr>
          <w:noProof/>
          <w:lang w:val="en-US"/>
        </w:rPr>
        <w:t>3</w:t>
      </w:r>
      <w:r>
        <w:fldChar w:fldCharType="end"/>
      </w:r>
      <w:bookmarkEnd w:id="4"/>
      <w:r w:rsidR="005C1F61" w:rsidRPr="005C1F61">
        <w:rPr>
          <w:lang w:val="en-US"/>
        </w:rPr>
        <w:t xml:space="preserve">: </w:t>
      </w:r>
      <w:r w:rsidR="00E44DB4" w:rsidRPr="00E44DB4">
        <w:rPr>
          <w:lang w:val="en-US"/>
        </w:rPr>
        <w:t xml:space="preserve"> </w:t>
      </w:r>
      <w:r w:rsidRPr="00BA7C3C">
        <w:rPr>
          <w:lang w:val="en-US"/>
        </w:rPr>
        <w:t xml:space="preserve">Participation in the Colombian electric matrix by technology in a </w:t>
      </w:r>
      <w:r w:rsidR="00E44DB4" w:rsidRPr="00BA7C3C">
        <w:rPr>
          <w:lang w:val="en-US"/>
        </w:rPr>
        <w:t>drought period</w:t>
      </w:r>
    </w:p>
    <w:p w:rsidR="00815BE8" w:rsidRPr="00850271" w:rsidRDefault="004543AD" w:rsidP="00F01C0C">
      <w:pPr>
        <w:pStyle w:val="Ttulo2"/>
        <w:numPr>
          <w:ilvl w:val="1"/>
          <w:numId w:val="8"/>
        </w:numPr>
        <w:rPr>
          <w:b/>
        </w:rPr>
      </w:pPr>
      <w:r w:rsidRPr="00850271">
        <w:rPr>
          <w:b/>
        </w:rPr>
        <w:t>El Niño Southern Oscillation (ENSO)</w:t>
      </w:r>
    </w:p>
    <w:p w:rsidR="00A062BE" w:rsidRDefault="008A2F2C" w:rsidP="00F75CA7">
      <w:pPr>
        <w:jc w:val="both"/>
        <w:rPr>
          <w:lang w:val="en-US"/>
        </w:rPr>
      </w:pPr>
      <w:r w:rsidRPr="001B6673">
        <w:rPr>
          <w:lang w:val="en-US"/>
        </w:rPr>
        <w:t>The El Niño/Southern Oscillation is a natural phenomenon that involves a fluctuation in the temperature in the central and eastern equatorial Pacific, which is coupled with changes in the atmosphere</w:t>
      </w:r>
      <w:r w:rsidR="004543AD" w:rsidRPr="001B6673">
        <w:rPr>
          <w:lang w:val="en-US"/>
        </w:rPr>
        <w:t>.</w:t>
      </w:r>
      <w:r w:rsidR="00A062BE" w:rsidRPr="001B6673">
        <w:rPr>
          <w:lang w:val="en-US"/>
        </w:rPr>
        <w:t xml:space="preserve"> El Niño and La Niña are the oceanic components of this phenomenon and </w:t>
      </w:r>
      <w:r w:rsidR="004543AD" w:rsidRPr="001B6673">
        <w:rPr>
          <w:lang w:val="en-US"/>
        </w:rPr>
        <w:t>the Southern Oscillation is its</w:t>
      </w:r>
      <w:r w:rsidR="00A062BE" w:rsidRPr="001B6673">
        <w:rPr>
          <w:lang w:val="en-US"/>
        </w:rPr>
        <w:t xml:space="preserve"> atmospheric counterpart</w:t>
      </w:r>
      <w:r w:rsidRPr="001B6673">
        <w:rPr>
          <w:lang w:val="en-US"/>
        </w:rPr>
        <w:t>. This</w:t>
      </w:r>
      <w:r>
        <w:rPr>
          <w:lang w:val="en-US"/>
        </w:rPr>
        <w:t xml:space="preserve"> changes in ocean temperature and the atmosphere have a heavy influence over the climatic patterns around the world, creating heavy rains and floods in certain parts of the world and droughts in others.</w:t>
      </w:r>
      <w:r w:rsidR="00A062BE">
        <w:rPr>
          <w:lang w:val="en-US"/>
        </w:rPr>
        <w:t xml:space="preserve"> </w:t>
      </w:r>
    </w:p>
    <w:p w:rsidR="005E0F4E" w:rsidRDefault="00A062BE" w:rsidP="00F75CA7">
      <w:pPr>
        <w:jc w:val="both"/>
        <w:rPr>
          <w:lang w:val="en-US"/>
        </w:rPr>
      </w:pPr>
      <w:r>
        <w:rPr>
          <w:lang w:val="en-US"/>
        </w:rPr>
        <w:lastRenderedPageBreak/>
        <w:t xml:space="preserve">The El Niño/Southern Oscillation </w:t>
      </w:r>
      <w:r w:rsidR="00AD3F16">
        <w:rPr>
          <w:lang w:val="en-US"/>
        </w:rPr>
        <w:t>contains three different phases: El Niño, neutral and La Niña. El Niño events often begin in the middle of the year with warming of the surface water in the central and eastern equatorial Pacific Ocean</w:t>
      </w:r>
      <w:r w:rsidR="005E0F4E">
        <w:rPr>
          <w:lang w:val="en-US"/>
        </w:rPr>
        <w:t>. Generally, El-Niño events peak around the November-January period and tends to decay over the first half of the following year. This phase of the phenomenon tends to occur every two to seven years and can last up to 18 months.</w:t>
      </w:r>
      <w:r w:rsidR="00065BDF">
        <w:rPr>
          <w:lang w:val="en-US"/>
        </w:rPr>
        <w:t xml:space="preserve"> As for Colombia, this phases bring abnormal deficits in rain level, which is shown by the over 50% of the Colombian territory being affected by a shortage of rainfall in 10 of the 12 </w:t>
      </w:r>
      <w:r w:rsidR="00E9562E">
        <w:rPr>
          <w:lang w:val="en-US"/>
        </w:rPr>
        <w:t>El Niño events that happened form 1972 to 2010</w:t>
      </w:r>
      <w:sdt>
        <w:sdtPr>
          <w:rPr>
            <w:lang w:val="en-US"/>
          </w:rPr>
          <w:id w:val="-642125965"/>
          <w:citation/>
        </w:sdtPr>
        <w:sdtContent>
          <w:r w:rsidR="00E9562E">
            <w:rPr>
              <w:lang w:val="en-US"/>
            </w:rPr>
            <w:fldChar w:fldCharType="begin"/>
          </w:r>
          <w:r w:rsidR="00E9562E" w:rsidRPr="00E9562E">
            <w:rPr>
              <w:lang w:val="en-US"/>
            </w:rPr>
            <w:instrText xml:space="preserve"> CITATION Gon \l 9226 </w:instrText>
          </w:r>
          <w:r w:rsidR="00E9562E">
            <w:rPr>
              <w:lang w:val="en-US"/>
            </w:rPr>
            <w:fldChar w:fldCharType="separate"/>
          </w:r>
          <w:r w:rsidR="00E9562E" w:rsidRPr="00E9562E">
            <w:rPr>
              <w:noProof/>
              <w:lang w:val="en-US"/>
            </w:rPr>
            <w:t xml:space="preserve"> (González &amp; Hurtado)</w:t>
          </w:r>
          <w:r w:rsidR="00E9562E">
            <w:rPr>
              <w:lang w:val="en-US"/>
            </w:rPr>
            <w:fldChar w:fldCharType="end"/>
          </w:r>
        </w:sdtContent>
      </w:sdt>
    </w:p>
    <w:p w:rsidR="002E5EEB" w:rsidRDefault="005E0F4E" w:rsidP="00F75CA7">
      <w:pPr>
        <w:jc w:val="both"/>
        <w:rPr>
          <w:lang w:val="en-US"/>
        </w:rPr>
      </w:pPr>
      <w:r>
        <w:rPr>
          <w:lang w:val="en-US"/>
        </w:rPr>
        <w:t>La Niña, which is the opposite end of the ENSO cycle is an event in which there is a cooling of the surface temperatures of the central and eastern equatorial Pacific Ocean</w:t>
      </w:r>
      <w:r w:rsidR="00224CC3">
        <w:rPr>
          <w:lang w:val="en-US"/>
        </w:rPr>
        <w:t xml:space="preserve"> which comes wi</w:t>
      </w:r>
      <w:r>
        <w:rPr>
          <w:lang w:val="en-US"/>
        </w:rPr>
        <w:t>t</w:t>
      </w:r>
      <w:r w:rsidR="00224CC3">
        <w:rPr>
          <w:lang w:val="en-US"/>
        </w:rPr>
        <w:t>h</w:t>
      </w:r>
      <w:r>
        <w:rPr>
          <w:lang w:val="en-US"/>
        </w:rPr>
        <w:t xml:space="preserve"> a reversal of the overall atmospheric</w:t>
      </w:r>
      <w:r w:rsidR="00224CC3">
        <w:rPr>
          <w:lang w:val="en-US"/>
        </w:rPr>
        <w:t xml:space="preserve"> and climatic</w:t>
      </w:r>
      <w:r>
        <w:rPr>
          <w:lang w:val="en-US"/>
        </w:rPr>
        <w:t xml:space="preserve"> conditions</w:t>
      </w:r>
      <w:r w:rsidR="00224CC3">
        <w:rPr>
          <w:lang w:val="en-US"/>
        </w:rPr>
        <w:t xml:space="preserve"> and variations compared to the El Niño.</w:t>
      </w:r>
      <w:r w:rsidR="002505D9">
        <w:rPr>
          <w:lang w:val="en-US"/>
        </w:rPr>
        <w:t xml:space="preserve"> Therefore, La Niña events are known in Colo</w:t>
      </w:r>
      <w:r w:rsidR="00A352E9">
        <w:rPr>
          <w:lang w:val="en-US"/>
        </w:rPr>
        <w:t>mbia for provoking a rise in the rainfall</w:t>
      </w:r>
      <w:r w:rsidR="000803DC">
        <w:rPr>
          <w:lang w:val="en-US"/>
        </w:rPr>
        <w:t xml:space="preserve"> rate</w:t>
      </w:r>
      <w:r w:rsidR="00BC0533">
        <w:rPr>
          <w:lang w:val="en-US"/>
        </w:rPr>
        <w:t>, which is shown by the 6 out of 8 La Niña events that happened between 1972 and 2010 which brought an excess of rainfall</w:t>
      </w:r>
      <w:sdt>
        <w:sdtPr>
          <w:rPr>
            <w:lang w:val="en-US"/>
          </w:rPr>
          <w:id w:val="1603912948"/>
          <w:citation/>
        </w:sdtPr>
        <w:sdtContent>
          <w:r w:rsidR="00BC0533">
            <w:rPr>
              <w:lang w:val="en-US"/>
            </w:rPr>
            <w:fldChar w:fldCharType="begin"/>
          </w:r>
          <w:r w:rsidR="00BC0533" w:rsidRPr="00BC0533">
            <w:rPr>
              <w:lang w:val="en-US"/>
            </w:rPr>
            <w:instrText xml:space="preserve"> CITATION Gon \l 9226 </w:instrText>
          </w:r>
          <w:r w:rsidR="00BC0533">
            <w:rPr>
              <w:lang w:val="en-US"/>
            </w:rPr>
            <w:fldChar w:fldCharType="separate"/>
          </w:r>
          <w:r w:rsidR="00BC0533" w:rsidRPr="00BC0533">
            <w:rPr>
              <w:noProof/>
              <w:lang w:val="en-US"/>
            </w:rPr>
            <w:t xml:space="preserve"> (González &amp; Hurtado)</w:t>
          </w:r>
          <w:r w:rsidR="00BC0533">
            <w:rPr>
              <w:lang w:val="en-US"/>
            </w:rPr>
            <w:fldChar w:fldCharType="end"/>
          </w:r>
        </w:sdtContent>
      </w:sdt>
      <w:r w:rsidR="000803DC">
        <w:rPr>
          <w:lang w:val="en-US"/>
        </w:rPr>
        <w:t>.</w:t>
      </w:r>
      <w:r w:rsidR="00BC0533">
        <w:rPr>
          <w:lang w:val="en-US"/>
        </w:rPr>
        <w:t>Lastly, d</w:t>
      </w:r>
      <w:r w:rsidR="00224CC3">
        <w:rPr>
          <w:lang w:val="en-US"/>
        </w:rPr>
        <w:t>uring the neutral phase of the ENSO cycle atmospheric patterns are controlled by other climate drivers in the world.</w:t>
      </w:r>
    </w:p>
    <w:p w:rsidR="0020465D" w:rsidRDefault="0020465D" w:rsidP="00F01C0C">
      <w:pPr>
        <w:pStyle w:val="Ttulo2"/>
        <w:numPr>
          <w:ilvl w:val="1"/>
          <w:numId w:val="8"/>
        </w:numPr>
        <w:rPr>
          <w:lang w:val="en-US"/>
        </w:rPr>
      </w:pPr>
      <w:r>
        <w:rPr>
          <w:lang w:val="en-US"/>
        </w:rPr>
        <w:t>Reliability Charge in Colombia</w:t>
      </w:r>
    </w:p>
    <w:p w:rsidR="008A7150" w:rsidRDefault="0020465D" w:rsidP="0020465D">
      <w:pPr>
        <w:jc w:val="both"/>
        <w:rPr>
          <w:lang w:val="en-US"/>
        </w:rPr>
      </w:pPr>
      <w:r>
        <w:rPr>
          <w:lang w:val="en-US"/>
        </w:rPr>
        <w:t>In order to hedge the risk that there is in electricity production in Colombia, this country’s government</w:t>
      </w:r>
      <w:r w:rsidR="008A7150">
        <w:rPr>
          <w:lang w:val="en-US"/>
        </w:rPr>
        <w:t xml:space="preserve"> adopted in 1996 what they called a “Capacity Charge” method. This measure rewarded electricity generators as they increased the installed capacity of their plants. However, due to the high dependence of the National Interconnected System in hydroelectricity, an increase in installed capacity did not necessarily mean an increase in electricity generated (which also depends in climatic conditions and availability of water). </w:t>
      </w:r>
    </w:p>
    <w:p w:rsidR="0020465D" w:rsidRDefault="00965FD6" w:rsidP="0020465D">
      <w:pPr>
        <w:jc w:val="both"/>
        <w:rPr>
          <w:lang w:val="en-US"/>
        </w:rPr>
      </w:pPr>
      <w:r>
        <w:rPr>
          <w:lang w:val="en-US"/>
        </w:rPr>
        <w:t>Due to this problem in the Capacity Charge measure</w:t>
      </w:r>
      <w:r w:rsidR="008B3E2F">
        <w:rPr>
          <w:lang w:val="en-US"/>
        </w:rPr>
        <w:t>,</w:t>
      </w:r>
      <w:r>
        <w:rPr>
          <w:lang w:val="en-US"/>
        </w:rPr>
        <w:t xml:space="preserve"> the Electricity and Gas Regulatory Commission (CREG),</w:t>
      </w:r>
      <w:r w:rsidR="008B3E2F">
        <w:rPr>
          <w:lang w:val="en-US"/>
        </w:rPr>
        <w:t xml:space="preserve"> since December of 2006,</w:t>
      </w:r>
      <w:r w:rsidR="0020465D">
        <w:rPr>
          <w:lang w:val="en-US"/>
        </w:rPr>
        <w:t xml:space="preserve"> opted towards creating to what is known today as the “Reliability Charge”</w:t>
      </w:r>
      <w:r w:rsidR="008B3E2F">
        <w:rPr>
          <w:lang w:val="en-US"/>
        </w:rPr>
        <w:t xml:space="preserve"> to prevent possible electricity rationing periods during drought seasons</w:t>
      </w:r>
      <w:r w:rsidR="0020465D">
        <w:rPr>
          <w:lang w:val="en-US"/>
        </w:rPr>
        <w:t>.</w:t>
      </w:r>
      <w:r w:rsidR="008A7150">
        <w:rPr>
          <w:lang w:val="en-US"/>
        </w:rPr>
        <w:t xml:space="preserve"> </w:t>
      </w:r>
      <w:r>
        <w:rPr>
          <w:lang w:val="en-US"/>
        </w:rPr>
        <w:t>This new measure was also made to incentivize the investment on electricity production assets, but it was done in another way. Instead of</w:t>
      </w:r>
      <w:r w:rsidR="008A7150">
        <w:rPr>
          <w:lang w:val="en-US"/>
        </w:rPr>
        <w:t xml:space="preserve"> </w:t>
      </w:r>
      <w:r>
        <w:rPr>
          <w:lang w:val="en-US"/>
        </w:rPr>
        <w:t xml:space="preserve">rewarding an increase in installed capacity, the Reliability Charge measure assigns to different electricity generators, by an auction process, </w:t>
      </w:r>
      <w:r w:rsidR="002415D0">
        <w:rPr>
          <w:lang w:val="en-US"/>
        </w:rPr>
        <w:t>a firm energy obligation</w:t>
      </w:r>
      <w:r w:rsidR="00BA624C">
        <w:rPr>
          <w:lang w:val="en-US"/>
        </w:rPr>
        <w:t xml:space="preserve"> </w:t>
      </w:r>
      <w:r w:rsidR="002415D0">
        <w:rPr>
          <w:lang w:val="en-US"/>
        </w:rPr>
        <w:t>under scarcity conditions</w:t>
      </w:r>
      <w:r w:rsidR="00484876">
        <w:rPr>
          <w:lang w:val="en-US"/>
        </w:rPr>
        <w:t xml:space="preserve"> (OEF) which “commits the generating company to have available pre-specified quantities of energy in periods of scarcity, defined as periods in which the spot price exceeds the Scarcity Price.” </w:t>
      </w:r>
      <w:sdt>
        <w:sdtPr>
          <w:rPr>
            <w:lang w:val="en-US"/>
          </w:rPr>
          <w:id w:val="-495195913"/>
          <w:citation/>
        </w:sdtPr>
        <w:sdtContent>
          <w:r w:rsidR="00484876">
            <w:rPr>
              <w:lang w:val="en-US"/>
            </w:rPr>
            <w:fldChar w:fldCharType="begin"/>
          </w:r>
          <w:r w:rsidR="00484876" w:rsidRPr="00484876">
            <w:rPr>
              <w:lang w:val="en-US"/>
            </w:rPr>
            <w:instrText xml:space="preserve"> CITATION Har08 \l 9226 </w:instrText>
          </w:r>
          <w:r w:rsidR="00484876">
            <w:rPr>
              <w:lang w:val="en-US"/>
            </w:rPr>
            <w:fldChar w:fldCharType="separate"/>
          </w:r>
          <w:r w:rsidR="00484876" w:rsidRPr="00484876">
            <w:rPr>
              <w:noProof/>
              <w:lang w:val="en-US"/>
            </w:rPr>
            <w:t>(Harbord &amp; Pagnozzi, 2008)</w:t>
          </w:r>
          <w:r w:rsidR="00484876">
            <w:rPr>
              <w:lang w:val="en-US"/>
            </w:rPr>
            <w:fldChar w:fldCharType="end"/>
          </w:r>
        </w:sdtContent>
      </w:sdt>
      <w:r w:rsidR="00AA1736">
        <w:rPr>
          <w:lang w:val="en-US"/>
        </w:rPr>
        <w:t xml:space="preserve"> This methodology is basically a Call Option</w:t>
      </w:r>
      <w:r w:rsidR="00D62523">
        <w:rPr>
          <w:lang w:val="en-US"/>
        </w:rPr>
        <w:t xml:space="preserve"> with electricity as underlying asset</w:t>
      </w:r>
      <w:r w:rsidR="00AA1736">
        <w:rPr>
          <w:lang w:val="en-US"/>
        </w:rPr>
        <w:t xml:space="preserve"> which allows the government </w:t>
      </w:r>
      <w:r w:rsidR="00486EFB">
        <w:rPr>
          <w:lang w:val="en-US"/>
        </w:rPr>
        <w:t xml:space="preserve">to buy a pre-determined amount of electric energy </w:t>
      </w:r>
      <w:r w:rsidR="00646178">
        <w:rPr>
          <w:lang w:val="en-US"/>
        </w:rPr>
        <w:t>at a set price</w:t>
      </w:r>
      <w:r w:rsidR="00486EFB">
        <w:rPr>
          <w:lang w:val="en-US"/>
        </w:rPr>
        <w:t xml:space="preserve"> </w:t>
      </w:r>
      <w:r w:rsidR="00646178">
        <w:rPr>
          <w:lang w:val="en-US"/>
        </w:rPr>
        <w:t>(</w:t>
      </w:r>
      <w:r w:rsidR="00486EFB">
        <w:rPr>
          <w:lang w:val="en-US"/>
        </w:rPr>
        <w:t xml:space="preserve">the </w:t>
      </w:r>
      <w:r w:rsidR="00646178">
        <w:rPr>
          <w:lang w:val="en-US"/>
        </w:rPr>
        <w:t xml:space="preserve">Scarcity Price, </w:t>
      </w:r>
      <w:r w:rsidR="00486EFB">
        <w:rPr>
          <w:lang w:val="en-US"/>
        </w:rPr>
        <w:t xml:space="preserve">which is the Strike Price for this Option) instead of buying </w:t>
      </w:r>
      <w:r w:rsidR="00646178">
        <w:rPr>
          <w:lang w:val="en-US"/>
        </w:rPr>
        <w:t>at</w:t>
      </w:r>
      <w:r w:rsidR="00486EFB">
        <w:rPr>
          <w:lang w:val="en-US"/>
        </w:rPr>
        <w:t xml:space="preserve"> Spot Price.</w:t>
      </w:r>
      <w:r w:rsidR="00E46DCA">
        <w:rPr>
          <w:lang w:val="en-US"/>
        </w:rPr>
        <w:t xml:space="preserve"> This derivative is limited by the maximum amount of energy that the generator guarantees to generate under any climatic conditions and it must be supported by generation assets. As any other Option, the Colombian government pays an Option premium</w:t>
      </w:r>
      <w:r w:rsidR="00486EFB">
        <w:rPr>
          <w:lang w:val="en-US"/>
        </w:rPr>
        <w:t xml:space="preserve"> </w:t>
      </w:r>
      <w:r w:rsidR="00E46DCA">
        <w:rPr>
          <w:lang w:val="en-US"/>
        </w:rPr>
        <w:t>(</w:t>
      </w:r>
      <w:r w:rsidR="00E1422B">
        <w:rPr>
          <w:lang w:val="en-US"/>
        </w:rPr>
        <w:t>Reliability</w:t>
      </w:r>
      <w:r w:rsidR="00E46DCA">
        <w:rPr>
          <w:lang w:val="en-US"/>
        </w:rPr>
        <w:t xml:space="preserve"> Charge</w:t>
      </w:r>
      <w:r w:rsidR="00E1422B">
        <w:rPr>
          <w:lang w:val="en-US"/>
        </w:rPr>
        <w:t>)</w:t>
      </w:r>
      <w:r w:rsidR="00645991">
        <w:rPr>
          <w:lang w:val="en-US"/>
        </w:rPr>
        <w:t xml:space="preserve"> to a generator for the option of buying energy at the Scarcity Price when the spot price surpasses it.</w:t>
      </w:r>
    </w:p>
    <w:p w:rsidR="00333B64" w:rsidRDefault="00477810" w:rsidP="0020465D">
      <w:pPr>
        <w:jc w:val="both"/>
        <w:rPr>
          <w:lang w:val="en-US"/>
        </w:rPr>
      </w:pPr>
      <w:r>
        <w:rPr>
          <w:lang w:val="en-US"/>
        </w:rPr>
        <w:t xml:space="preserve">As the objective of this Reliability Charge is to </w:t>
      </w:r>
      <w:r w:rsidR="00787479">
        <w:rPr>
          <w:lang w:val="en-US"/>
        </w:rPr>
        <w:t>be able to buy electricity</w:t>
      </w:r>
      <w:r w:rsidR="00A4366B">
        <w:rPr>
          <w:lang w:val="en-US"/>
        </w:rPr>
        <w:t xml:space="preserve"> at a Scarcity Price</w:t>
      </w:r>
      <w:r w:rsidR="00787479">
        <w:rPr>
          <w:lang w:val="en-US"/>
        </w:rPr>
        <w:t xml:space="preserve"> every time</w:t>
      </w:r>
      <w:r w:rsidR="001F3A11">
        <w:rPr>
          <w:lang w:val="en-US"/>
        </w:rPr>
        <w:t>, during a time horizon of 10 years ahead,</w:t>
      </w:r>
      <w:r w:rsidR="00A4366B">
        <w:rPr>
          <w:lang w:val="en-US"/>
        </w:rPr>
        <w:t xml:space="preserve"> that its s</w:t>
      </w:r>
      <w:r w:rsidR="001F3A11">
        <w:rPr>
          <w:lang w:val="en-US"/>
        </w:rPr>
        <w:t>pot price</w:t>
      </w:r>
      <w:r w:rsidR="00787479">
        <w:rPr>
          <w:lang w:val="en-US"/>
        </w:rPr>
        <w:t xml:space="preserve"> </w:t>
      </w:r>
      <w:r w:rsidR="001F3A11">
        <w:rPr>
          <w:lang w:val="en-US"/>
        </w:rPr>
        <w:t>is higher, this electricity derivative can be seen as a portfolio of</w:t>
      </w:r>
      <w:r w:rsidR="00BF523C">
        <w:rPr>
          <w:lang w:val="en-US"/>
        </w:rPr>
        <w:t xml:space="preserve"> an infinite number of</w:t>
      </w:r>
      <w:r w:rsidR="001F3A11">
        <w:rPr>
          <w:lang w:val="en-US"/>
        </w:rPr>
        <w:t xml:space="preserve"> European Options</w:t>
      </w:r>
      <w:r w:rsidR="00BF523C">
        <w:rPr>
          <w:lang w:val="en-US"/>
        </w:rPr>
        <w:t xml:space="preserve"> which maturation dates vary from </w:t>
      </w:r>
      <w:r w:rsidR="00BF523C">
        <w:rPr>
          <w:lang w:val="en-US"/>
        </w:rPr>
        <w:lastRenderedPageBreak/>
        <w:t>now until the next ten years</w:t>
      </w:r>
      <w:r w:rsidR="00333B64">
        <w:rPr>
          <w:lang w:val="en-US"/>
        </w:rPr>
        <w:t xml:space="preserve">. Therefore, the payoff profile for each of this Options that make up the Reliability Charge portfolio is shown in </w:t>
      </w:r>
      <w:r w:rsidR="00942149" w:rsidRPr="00942149">
        <w:rPr>
          <w:i/>
          <w:lang w:val="en-US"/>
        </w:rPr>
        <w:fldChar w:fldCharType="begin"/>
      </w:r>
      <w:r w:rsidR="00942149" w:rsidRPr="00942149">
        <w:rPr>
          <w:i/>
          <w:lang w:val="en-US"/>
        </w:rPr>
        <w:instrText xml:space="preserve"> REF _Ref7699790 \h  \* MERGEFORMAT </w:instrText>
      </w:r>
      <w:r w:rsidR="00942149" w:rsidRPr="00942149">
        <w:rPr>
          <w:i/>
          <w:lang w:val="en-US"/>
        </w:rPr>
      </w:r>
      <w:r w:rsidR="00942149" w:rsidRPr="00942149">
        <w:rPr>
          <w:i/>
          <w:lang w:val="en-US"/>
        </w:rPr>
        <w:fldChar w:fldCharType="separate"/>
      </w:r>
      <w:r w:rsidR="00942149" w:rsidRPr="00942149">
        <w:rPr>
          <w:i/>
          <w:lang w:val="en-US"/>
        </w:rPr>
        <w:t xml:space="preserve">Figure </w:t>
      </w:r>
      <w:r w:rsidR="00942149" w:rsidRPr="00942149">
        <w:rPr>
          <w:i/>
          <w:noProof/>
          <w:lang w:val="en-US"/>
        </w:rPr>
        <w:t>4</w:t>
      </w:r>
      <w:r w:rsidR="00942149" w:rsidRPr="00942149">
        <w:rPr>
          <w:i/>
          <w:lang w:val="en-US"/>
        </w:rPr>
        <w:fldChar w:fldCharType="end"/>
      </w:r>
      <w:r w:rsidR="00942149">
        <w:rPr>
          <w:i/>
          <w:lang w:val="en-US"/>
        </w:rPr>
        <w:t>.</w:t>
      </w:r>
    </w:p>
    <w:p w:rsidR="00830724" w:rsidRDefault="00333B64" w:rsidP="00830724">
      <w:pPr>
        <w:keepNext/>
        <w:jc w:val="center"/>
      </w:pPr>
      <w:r>
        <w:rPr>
          <w:noProof/>
          <w:lang w:eastAsia="es-CO"/>
        </w:rPr>
        <w:drawing>
          <wp:inline distT="0" distB="0" distL="0" distR="0" wp14:anchorId="3810D713" wp14:editId="1E4305F8">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77810" w:rsidRDefault="00830724" w:rsidP="00830724">
      <w:pPr>
        <w:pStyle w:val="Descripcin"/>
        <w:jc w:val="center"/>
        <w:rPr>
          <w:rFonts w:eastAsiaTheme="minorEastAsia"/>
          <w:lang w:val="en-US"/>
        </w:rPr>
      </w:pPr>
      <w:bookmarkStart w:id="5" w:name="_Ref7699790"/>
      <w:r w:rsidRPr="00830724">
        <w:rPr>
          <w:lang w:val="en-US"/>
        </w:rPr>
        <w:t xml:space="preserve">Figure </w:t>
      </w:r>
      <w:r>
        <w:fldChar w:fldCharType="begin"/>
      </w:r>
      <w:r w:rsidRPr="00830724">
        <w:rPr>
          <w:lang w:val="en-US"/>
        </w:rPr>
        <w:instrText xml:space="preserve"> SEQ Figure \* ARABIC </w:instrText>
      </w:r>
      <w:r>
        <w:fldChar w:fldCharType="separate"/>
      </w:r>
      <w:r w:rsidR="00784AE9">
        <w:rPr>
          <w:noProof/>
          <w:lang w:val="en-US"/>
        </w:rPr>
        <w:t>4</w:t>
      </w:r>
      <w:r>
        <w:fldChar w:fldCharType="end"/>
      </w:r>
      <w:bookmarkEnd w:id="5"/>
      <w:r w:rsidRPr="00830724">
        <w:rPr>
          <w:lang w:val="en-US"/>
        </w:rPr>
        <w:t>: Payoff profile of each option</w:t>
      </w:r>
      <w:r>
        <w:rPr>
          <w:lang w:val="en-US"/>
        </w:rPr>
        <w:t xml:space="preserve"> with maturity date t. </w:t>
      </w:r>
      <m:oMath>
        <m:r>
          <w:rPr>
            <w:rFonts w:ascii="Cambria Math" w:hAnsi="Cambria Math"/>
            <w:lang w:val="en-US"/>
          </w:rPr>
          <m:t>∀t∈1,2,3,…,T</m:t>
        </m:r>
      </m:oMath>
      <w:r>
        <w:rPr>
          <w:rFonts w:eastAsiaTheme="minorEastAsia"/>
          <w:lang w:val="en-US"/>
        </w:rPr>
        <w:t xml:space="preserve"> T:</w:t>
      </w:r>
      <w:r w:rsidR="00942149">
        <w:rPr>
          <w:rFonts w:eastAsiaTheme="minorEastAsia"/>
          <w:lang w:val="en-US"/>
        </w:rPr>
        <w:t xml:space="preserve"> </w:t>
      </w:r>
      <w:r>
        <w:rPr>
          <w:rFonts w:eastAsiaTheme="minorEastAsia"/>
          <w:lang w:val="en-US"/>
        </w:rPr>
        <w:t>Time horizon for the Reliability Charge obligation</w:t>
      </w:r>
      <w:r w:rsidR="00DF31FE">
        <w:rPr>
          <w:rFonts w:eastAsiaTheme="minorEastAsia"/>
          <w:lang w:val="en-US"/>
        </w:rPr>
        <w:t>. y:Option premium/ Reliability Charge</w:t>
      </w:r>
      <w:r w:rsidR="00AD2372">
        <w:rPr>
          <w:rFonts w:eastAsiaTheme="minorEastAsia"/>
          <w:lang w:val="en-US"/>
        </w:rPr>
        <w:t xml:space="preserve">. </w:t>
      </w:r>
      <w:r w:rsidR="00942149">
        <w:rPr>
          <w:rFonts w:eastAsiaTheme="minorEastAsia"/>
          <w:lang w:val="en-US"/>
        </w:rPr>
        <w:t xml:space="preserve">k: </w:t>
      </w:r>
      <w:r w:rsidR="00AD2372">
        <w:rPr>
          <w:rFonts w:eastAsiaTheme="minorEastAsia"/>
          <w:lang w:val="en-US"/>
        </w:rPr>
        <w:t>Strike price/Scarcity Price</w:t>
      </w:r>
    </w:p>
    <w:p w:rsidR="00942149" w:rsidRDefault="00942149" w:rsidP="00714744">
      <w:pPr>
        <w:jc w:val="both"/>
        <w:rPr>
          <w:lang w:val="en-US"/>
        </w:rPr>
      </w:pPr>
      <w:r>
        <w:rPr>
          <w:lang w:val="en-US"/>
        </w:rPr>
        <w:t xml:space="preserve">Finally, the </w:t>
      </w:r>
      <w:r w:rsidR="00C22921">
        <w:rPr>
          <w:lang w:val="en-US"/>
        </w:rPr>
        <w:t xml:space="preserve">Option premium/Reliability Charge would have a value </w:t>
      </w:r>
      <w:r w:rsidR="002C5CB1">
        <w:rPr>
          <w:lang w:val="en-US"/>
        </w:rPr>
        <w:t xml:space="preserve">equal to </w:t>
      </w:r>
      <w:r w:rsidR="00C22921">
        <w:rPr>
          <w:lang w:val="en-US"/>
        </w:rPr>
        <w:t>the sum of all of these</w:t>
      </w:r>
      <w:r w:rsidR="002C5CB1">
        <w:rPr>
          <w:lang w:val="en-US"/>
        </w:rPr>
        <w:t xml:space="preserve"> “infinite”</w:t>
      </w:r>
      <w:r w:rsidR="00C22921">
        <w:rPr>
          <w:lang w:val="en-US"/>
        </w:rPr>
        <w:t xml:space="preserve"> </w:t>
      </w:r>
      <w:r w:rsidR="00714744">
        <w:rPr>
          <w:lang w:val="en-US"/>
        </w:rPr>
        <w:t>European options that make up the portfolio. Therefore the price of this option would be the following:</w:t>
      </w:r>
      <w:r w:rsidR="00C22921">
        <w:rPr>
          <w:lang w:val="en-U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DF4C4F" w:rsidTr="00C97F16">
        <w:tc>
          <w:tcPr>
            <w:tcW w:w="704" w:type="dxa"/>
            <w:vAlign w:val="center"/>
          </w:tcPr>
          <w:p w:rsidR="00DF4C4F" w:rsidRDefault="00DF4C4F" w:rsidP="00C97F16">
            <w:pPr>
              <w:jc w:val="center"/>
              <w:rPr>
                <w:lang w:val="en-US"/>
              </w:rPr>
            </w:pPr>
          </w:p>
        </w:tc>
        <w:tc>
          <w:tcPr>
            <w:tcW w:w="7371" w:type="dxa"/>
            <w:vAlign w:val="center"/>
          </w:tcPr>
          <w:p w:rsidR="00DF4C4F" w:rsidRPr="002D4B41" w:rsidRDefault="00DF4C4F" w:rsidP="00DF4C4F">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T,S</m:t>
                    </m:r>
                    <m:d>
                      <m:dPr>
                        <m:ctrlPr>
                          <w:rPr>
                            <w:rFonts w:ascii="Cambria Math" w:hAnsi="Cambria Math"/>
                            <w:i/>
                            <w:lang w:val="en-US"/>
                          </w:rPr>
                        </m:ctrlPr>
                      </m:dPr>
                      <m:e>
                        <m:r>
                          <w:rPr>
                            <w:rFonts w:ascii="Cambria Math" w:hAnsi="Cambria Math"/>
                            <w:lang w:val="en-US"/>
                          </w:rPr>
                          <m:t>t</m:t>
                        </m:r>
                      </m:e>
                    </m:d>
                    <m:r>
                      <w:rPr>
                        <w:rFonts w:ascii="Cambria Math" w:hAnsi="Cambria Math"/>
                        <w:lang w:val="en-US"/>
                      </w:rPr>
                      <m:t>,k</m:t>
                    </m:r>
                  </m:e>
                </m:d>
                <m:r>
                  <w:rPr>
                    <w:rFonts w:ascii="Cambria Math" w:hAnsi="Cambria Math"/>
                    <w:lang w:val="en-US"/>
                  </w:rPr>
                  <m:t>=E</m:t>
                </m:r>
                <m:d>
                  <m:dPr>
                    <m:begChr m:val="["/>
                    <m:endChr m:val="]"/>
                    <m:ctrlPr>
                      <w:rPr>
                        <w:rFonts w:ascii="Cambria Math" w:hAnsi="Cambria Math"/>
                        <w:i/>
                        <w:lang w:val="en-US"/>
                      </w:rPr>
                    </m:ctrlPr>
                  </m:dPr>
                  <m:e>
                    <m:nary>
                      <m:naryPr>
                        <m:limLoc m:val="undOvr"/>
                        <m:ctrlPr>
                          <w:rPr>
                            <w:rFonts w:ascii="Cambria Math" w:hAnsi="Cambria Math"/>
                            <w:i/>
                            <w:lang w:val="en-US"/>
                          </w:rPr>
                        </m:ctrlPr>
                      </m:naryPr>
                      <m:sub>
                        <m:r>
                          <w:rPr>
                            <w:rFonts w:ascii="Cambria Math" w:hAnsi="Cambria Math"/>
                            <w:lang w:val="en-US"/>
                          </w:rPr>
                          <m:t>τ=0</m:t>
                        </m:r>
                      </m:sub>
                      <m:sup>
                        <m:r>
                          <w:rPr>
                            <w:rFonts w:ascii="Cambria Math" w:hAnsi="Cambria Math"/>
                            <w:lang w:val="en-US"/>
                          </w:rPr>
                          <m:t>T</m:t>
                        </m:r>
                      </m:sup>
                      <m:e>
                        <m:r>
                          <w:rPr>
                            <w:rFonts w:ascii="Cambria Math" w:hAnsi="Cambria Math"/>
                            <w:lang w:val="en-US"/>
                          </w:rPr>
                          <m:t>Max</m:t>
                        </m:r>
                        <m:d>
                          <m:dPr>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-k,0</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up>
                        </m:sSup>
                        <m:r>
                          <w:rPr>
                            <w:rFonts w:ascii="Cambria Math" w:hAnsi="Cambria Math"/>
                            <w:lang w:val="en-US"/>
                          </w:rPr>
                          <m:t>dτ</m:t>
                        </m:r>
                      </m:e>
                    </m:nary>
                    <m:ctrlPr>
                      <w:rPr>
                        <w:rFonts w:ascii="Cambria Math" w:eastAsiaTheme="minorEastAsia" w:hAnsi="Cambria Math"/>
                        <w:i/>
                        <w:lang w:val="en-US"/>
                      </w:rPr>
                    </m:ctrlPr>
                  </m:e>
                </m:d>
              </m:oMath>
            </m:oMathPara>
          </w:p>
          <w:p w:rsidR="00DF4C4F" w:rsidRDefault="00DF4C4F" w:rsidP="00C97F16">
            <w:pPr>
              <w:jc w:val="center"/>
              <w:rPr>
                <w:lang w:val="en-US"/>
              </w:rPr>
            </w:pPr>
          </w:p>
        </w:tc>
        <w:tc>
          <w:tcPr>
            <w:tcW w:w="753" w:type="dxa"/>
            <w:vAlign w:val="center"/>
          </w:tcPr>
          <w:p w:rsidR="00DF4C4F" w:rsidRDefault="00DF4C4F"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1</w:t>
            </w:r>
            <w:r>
              <w:rPr>
                <w:lang w:val="en-US"/>
              </w:rPr>
              <w:fldChar w:fldCharType="end"/>
            </w:r>
            <w:r>
              <w:rPr>
                <w:lang w:val="en-US"/>
              </w:rPr>
              <w:t>)</w:t>
            </w:r>
          </w:p>
        </w:tc>
      </w:tr>
      <w:tr w:rsidR="00DF4C4F" w:rsidTr="00C97F16">
        <w:tc>
          <w:tcPr>
            <w:tcW w:w="704" w:type="dxa"/>
            <w:vAlign w:val="center"/>
          </w:tcPr>
          <w:p w:rsidR="00DF4C4F" w:rsidRDefault="00DF4C4F" w:rsidP="00C97F16">
            <w:pPr>
              <w:jc w:val="center"/>
              <w:rPr>
                <w:lang w:val="en-US"/>
              </w:rPr>
            </w:pPr>
          </w:p>
        </w:tc>
        <w:tc>
          <w:tcPr>
            <w:tcW w:w="7371" w:type="dxa"/>
            <w:vAlign w:val="center"/>
          </w:tcPr>
          <w:p w:rsidR="00DF4C4F" w:rsidRPr="00DF4C4F" w:rsidRDefault="00DF4C4F" w:rsidP="00C97F16">
            <w:pPr>
              <w:jc w:val="center"/>
              <w:rPr>
                <w:rFonts w:ascii="Calibri" w:eastAsia="Calibri" w:hAnsi="Calibri" w:cs="Times New Roman"/>
                <w:lang w:val="en-US"/>
              </w:rPr>
            </w:pPr>
          </w:p>
        </w:tc>
        <w:tc>
          <w:tcPr>
            <w:tcW w:w="753" w:type="dxa"/>
            <w:vAlign w:val="center"/>
          </w:tcPr>
          <w:p w:rsidR="00DF4C4F" w:rsidRDefault="00DF4C4F" w:rsidP="00DF4C4F">
            <w:pPr>
              <w:jc w:val="center"/>
              <w:rPr>
                <w:lang w:val="en-US"/>
              </w:rPr>
            </w:pPr>
          </w:p>
        </w:tc>
      </w:tr>
    </w:tbl>
    <w:p w:rsidR="002C5CB1" w:rsidRPr="006E4F0A" w:rsidRDefault="002D4B41" w:rsidP="00714744">
      <w:pPr>
        <w:jc w:val="both"/>
        <w:rPr>
          <w:rFonts w:eastAsiaTheme="minorEastAsia"/>
          <w:lang w:val="en-US"/>
        </w:rPr>
      </w:pPr>
      <m:oMathPara>
        <m:oMath>
          <m: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f</m:t>
              </m:r>
            </m:sub>
          </m:sSub>
          <m:r>
            <w:rPr>
              <w:rFonts w:ascii="Cambria Math" w:eastAsiaTheme="minorEastAsia" w:hAnsi="Cambria Math"/>
              <w:lang w:val="en-US"/>
            </w:rPr>
            <m:t xml:space="preserve"> is the Colombian risk-free rate</m:t>
          </m:r>
        </m:oMath>
      </m:oMathPara>
    </w:p>
    <w:p w:rsidR="006E4F0A" w:rsidRPr="00DF4C4F" w:rsidRDefault="006E4F0A" w:rsidP="00714744">
      <w:pPr>
        <w:jc w:val="both"/>
        <w:rPr>
          <w:rFonts w:eastAsiaTheme="minorEastAsia"/>
          <w:lang w:val="en-US"/>
        </w:rPr>
      </w:pPr>
      <w:r>
        <w:rPr>
          <w:rFonts w:eastAsiaTheme="minorEastAsia"/>
          <w:lang w:val="en-US"/>
        </w:rPr>
        <w:t xml:space="preserve">It is worth noting that </w:t>
      </w:r>
      <w:r w:rsidR="00CF3664">
        <w:rPr>
          <w:rFonts w:eastAsiaTheme="minorEastAsia"/>
          <w:lang w:val="en-US"/>
        </w:rPr>
        <w:t>the actual Reliability Charge proposed the Scarcity Price to be equal to the spot price of electricity that is generated by the thermoelectric plant with the highest</w:t>
      </w:r>
      <w:r w:rsidR="00481B50">
        <w:rPr>
          <w:rFonts w:eastAsiaTheme="minorEastAsia"/>
          <w:lang w:val="en-US"/>
        </w:rPr>
        <w:t xml:space="preserve"> spot price.</w:t>
      </w:r>
    </w:p>
    <w:p w:rsidR="00186C03" w:rsidRDefault="00186C03" w:rsidP="00A8357A">
      <w:pPr>
        <w:pStyle w:val="Ttulo1"/>
        <w:numPr>
          <w:ilvl w:val="0"/>
          <w:numId w:val="2"/>
        </w:numPr>
        <w:rPr>
          <w:b/>
          <w:lang w:val="en-US"/>
        </w:rPr>
      </w:pPr>
      <w:r>
        <w:rPr>
          <w:b/>
          <w:lang w:val="en-US"/>
        </w:rPr>
        <w:t>Pricing Methodology</w:t>
      </w:r>
      <w:r w:rsidR="00A8357A">
        <w:rPr>
          <w:b/>
          <w:lang w:val="en-US"/>
        </w:rPr>
        <w:t xml:space="preserve"> Description</w:t>
      </w:r>
    </w:p>
    <w:p w:rsidR="00A55EEB" w:rsidRDefault="006A4C65" w:rsidP="00F75CA7">
      <w:pPr>
        <w:jc w:val="both"/>
        <w:rPr>
          <w:lang w:val="en-US"/>
        </w:rPr>
      </w:pPr>
      <w:r>
        <w:rPr>
          <w:lang w:val="en-US"/>
        </w:rPr>
        <w:t xml:space="preserve">In this paper, </w:t>
      </w:r>
      <w:r w:rsidR="00E447F2">
        <w:rPr>
          <w:lang w:val="en-US"/>
        </w:rPr>
        <w:t>the prices are going to be estimated by 6 different ways in order to compare different ways of estimation and in o</w:t>
      </w:r>
      <w:r w:rsidR="0043162C">
        <w:rPr>
          <w:lang w:val="en-US"/>
        </w:rPr>
        <w:t xml:space="preserve">rder to choose the best model that can be used to </w:t>
      </w:r>
      <w:r w:rsidR="00DE2D15">
        <w:rPr>
          <w:lang w:val="en-US"/>
        </w:rPr>
        <w:t>simulate</w:t>
      </w:r>
      <w:r w:rsidR="0043162C">
        <w:rPr>
          <w:lang w:val="en-US"/>
        </w:rPr>
        <w:t xml:space="preserve"> the prices of electricity in the Colombian energy stock exchange.</w:t>
      </w:r>
      <w:r w:rsidR="00A55EEB">
        <w:rPr>
          <w:lang w:val="en-US"/>
        </w:rPr>
        <w:t xml:space="preserve"> The following steps are going to be developed in order to obtain the pricing models and to be able to do the final pricing of the “</w:t>
      </w:r>
      <w:r w:rsidR="00F3654D">
        <w:rPr>
          <w:lang w:val="en-US"/>
        </w:rPr>
        <w:t>Reliability</w:t>
      </w:r>
      <w:r w:rsidR="00A55EEB">
        <w:rPr>
          <w:lang w:val="en-US"/>
        </w:rPr>
        <w:t xml:space="preserve"> charge” for electricity in Colombia:</w:t>
      </w:r>
    </w:p>
    <w:p w:rsidR="00A55EEB" w:rsidRDefault="00A55EEB" w:rsidP="00A55EEB">
      <w:pPr>
        <w:pStyle w:val="Prrafodelista"/>
        <w:numPr>
          <w:ilvl w:val="0"/>
          <w:numId w:val="1"/>
        </w:numPr>
        <w:jc w:val="both"/>
        <w:rPr>
          <w:lang w:val="en-US"/>
        </w:rPr>
      </w:pPr>
      <w:r>
        <w:rPr>
          <w:lang w:val="en-US"/>
        </w:rPr>
        <w:t>Data collection and analysis</w:t>
      </w:r>
      <w:r w:rsidR="00A709E7">
        <w:rPr>
          <w:lang w:val="en-US"/>
        </w:rPr>
        <w:t>: this steps consists in the explanation of what data was used, where it</w:t>
      </w:r>
      <w:r w:rsidR="006C6051">
        <w:rPr>
          <w:lang w:val="en-US"/>
        </w:rPr>
        <w:t xml:space="preserve"> was</w:t>
      </w:r>
      <w:r w:rsidR="00A709E7">
        <w:rPr>
          <w:lang w:val="en-US"/>
        </w:rPr>
        <w:t xml:space="preserve"> obtained and </w:t>
      </w:r>
      <w:r w:rsidR="006C6051">
        <w:rPr>
          <w:lang w:val="en-US"/>
        </w:rPr>
        <w:t xml:space="preserve">an analysis of the main patterns present in this data. This is done with the purpose of identifying the main aspects that have to be included into the price </w:t>
      </w:r>
      <w:r w:rsidR="006C6051">
        <w:rPr>
          <w:lang w:val="en-US"/>
        </w:rPr>
        <w:lastRenderedPageBreak/>
        <w:t xml:space="preserve">forecasting models. Furthermore, in this step a division of the data into a training set and a validation set is also explained. </w:t>
      </w:r>
    </w:p>
    <w:p w:rsidR="00A55EEB" w:rsidRDefault="00A55EEB" w:rsidP="00A55EEB">
      <w:pPr>
        <w:pStyle w:val="Prrafodelista"/>
        <w:numPr>
          <w:ilvl w:val="0"/>
          <w:numId w:val="1"/>
        </w:numPr>
        <w:jc w:val="both"/>
        <w:rPr>
          <w:lang w:val="en-US"/>
        </w:rPr>
      </w:pPr>
      <w:r>
        <w:rPr>
          <w:lang w:val="en-US"/>
        </w:rPr>
        <w:t>Model Specification and Estimation</w:t>
      </w:r>
      <w:r w:rsidR="006C6051">
        <w:rPr>
          <w:lang w:val="en-US"/>
        </w:rPr>
        <w:t xml:space="preserve">: In this step </w:t>
      </w:r>
      <w:r w:rsidR="0011186C">
        <w:rPr>
          <w:lang w:val="en-US"/>
        </w:rPr>
        <w:t>six different</w:t>
      </w:r>
      <w:r w:rsidR="00673EF4">
        <w:rPr>
          <w:lang w:val="en-US"/>
        </w:rPr>
        <w:t xml:space="preserve"> price forecasting</w:t>
      </w:r>
      <w:r w:rsidR="0011186C">
        <w:rPr>
          <w:lang w:val="en-US"/>
        </w:rPr>
        <w:t xml:space="preserve"> models and the methods of their estimation will be explained</w:t>
      </w:r>
      <w:r w:rsidR="00673EF4">
        <w:rPr>
          <w:lang w:val="en-US"/>
        </w:rPr>
        <w:t>.</w:t>
      </w:r>
      <w:r w:rsidR="0011186C">
        <w:rPr>
          <w:lang w:val="en-US"/>
        </w:rPr>
        <w:t xml:space="preserve"> </w:t>
      </w:r>
    </w:p>
    <w:p w:rsidR="006C5E41" w:rsidRDefault="006C5E41" w:rsidP="00A55EEB">
      <w:pPr>
        <w:pStyle w:val="Prrafodelista"/>
        <w:numPr>
          <w:ilvl w:val="0"/>
          <w:numId w:val="1"/>
        </w:numPr>
        <w:jc w:val="both"/>
        <w:rPr>
          <w:lang w:val="en-US"/>
        </w:rPr>
      </w:pPr>
      <w:r>
        <w:rPr>
          <w:lang w:val="en-US"/>
        </w:rPr>
        <w:t xml:space="preserve">Model Comparison: The models will be compared using the RMSE error measure. </w:t>
      </w:r>
    </w:p>
    <w:p w:rsidR="008A609E" w:rsidRDefault="00A55EEB" w:rsidP="00A55EEB">
      <w:pPr>
        <w:pStyle w:val="Prrafodelista"/>
        <w:numPr>
          <w:ilvl w:val="0"/>
          <w:numId w:val="1"/>
        </w:numPr>
        <w:jc w:val="both"/>
        <w:rPr>
          <w:lang w:val="en-US"/>
        </w:rPr>
      </w:pPr>
      <w:r>
        <w:rPr>
          <w:lang w:val="en-US"/>
        </w:rPr>
        <w:t>Monte Carlo Simulation</w:t>
      </w:r>
      <w:r w:rsidR="00673EF4">
        <w:rPr>
          <w:lang w:val="en-US"/>
        </w:rPr>
        <w:t xml:space="preserve">: </w:t>
      </w:r>
      <w:r w:rsidR="006C5E41">
        <w:rPr>
          <w:lang w:val="en-US"/>
        </w:rPr>
        <w:t>This step consists in the definition of the model and the parameters that are going to be used for simulation of future prices.</w:t>
      </w:r>
      <w:r w:rsidRPr="00A55EEB">
        <w:rPr>
          <w:lang w:val="en-US"/>
        </w:rPr>
        <w:t xml:space="preserve"> </w:t>
      </w:r>
    </w:p>
    <w:p w:rsidR="006C5E41" w:rsidRPr="00A55EEB" w:rsidRDefault="006C5E41" w:rsidP="00A55EEB">
      <w:pPr>
        <w:pStyle w:val="Prrafodelista"/>
        <w:numPr>
          <w:ilvl w:val="0"/>
          <w:numId w:val="1"/>
        </w:numPr>
        <w:jc w:val="both"/>
        <w:rPr>
          <w:lang w:val="en-US"/>
        </w:rPr>
      </w:pPr>
      <w:r>
        <w:rPr>
          <w:lang w:val="en-US"/>
        </w:rPr>
        <w:t>Option pricing: Lastly, the electricity option pricing is going to be made by the simulation approach.</w:t>
      </w:r>
    </w:p>
    <w:p w:rsidR="00186C03" w:rsidRDefault="00186C03" w:rsidP="00A8357A">
      <w:pPr>
        <w:pStyle w:val="Ttulo1"/>
        <w:numPr>
          <w:ilvl w:val="0"/>
          <w:numId w:val="2"/>
        </w:numPr>
        <w:rPr>
          <w:b/>
          <w:color w:val="FF0000"/>
          <w:lang w:val="en-US"/>
        </w:rPr>
      </w:pPr>
      <w:bookmarkStart w:id="6" w:name="_Ref7515732"/>
      <w:r w:rsidRPr="0039757F">
        <w:rPr>
          <w:b/>
          <w:color w:val="FF0000"/>
          <w:lang w:val="en-US"/>
        </w:rPr>
        <w:t>Data collection and analysis</w:t>
      </w:r>
      <w:bookmarkEnd w:id="6"/>
    </w:p>
    <w:p w:rsidR="002F14BB" w:rsidRPr="002F14BB" w:rsidRDefault="002F14BB" w:rsidP="00A15CCD">
      <w:pPr>
        <w:pStyle w:val="Ttulo2"/>
        <w:numPr>
          <w:ilvl w:val="1"/>
          <w:numId w:val="7"/>
        </w:numPr>
        <w:rPr>
          <w:lang w:val="en-US"/>
        </w:rPr>
      </w:pPr>
      <w:bookmarkStart w:id="7" w:name="_Ref7610993"/>
      <w:r>
        <w:rPr>
          <w:lang w:val="en-US"/>
        </w:rPr>
        <w:t xml:space="preserve"> ENSO Data</w:t>
      </w:r>
      <w:bookmarkEnd w:id="7"/>
    </w:p>
    <w:p w:rsidR="00D32C15" w:rsidRDefault="00D32C15" w:rsidP="00D32C15">
      <w:pPr>
        <w:jc w:val="both"/>
        <w:rPr>
          <w:lang w:val="en-US"/>
        </w:rPr>
      </w:pPr>
      <w:r>
        <w:rPr>
          <w:lang w:val="en-US"/>
        </w:rPr>
        <w:t xml:space="preserve">According to what was said about the El Niño and La Niña events, the ENSO is an extremely important phenomenon to be taken into account in order to predict electricity price in Colombia due to the impact that these ENSO cycle phases have on the availability of water in the country and the high reliance of Colombia in hydroelectric central in order to produce electric energy. Therefore, to take the ENSO phenomenon into account, the Oceanic Niño Index from the National Oceanic and Atmospheric Administration (NOAA) from the United States and probabilities for El Niño, La Niña and neutral ENSO events were obtained from the International Research Institute for Climate and Society (IRI) from the Earth Institute of the Columbia University and the Climate Prediction Center (CPC). </w:t>
      </w:r>
    </w:p>
    <w:p w:rsidR="00D32C15" w:rsidRDefault="00D32C15" w:rsidP="00D32C15">
      <w:pPr>
        <w:jc w:val="both"/>
        <w:rPr>
          <w:lang w:val="en-US"/>
        </w:rPr>
      </w:pPr>
      <w:r>
        <w:rPr>
          <w:lang w:val="en-US"/>
        </w:rPr>
        <w:t xml:space="preserve">The Oceanic Niño Index is an index that </w:t>
      </w:r>
      <w:r w:rsidR="009B0E42">
        <w:rPr>
          <w:lang w:val="en-US"/>
        </w:rPr>
        <w:t xml:space="preserve">measures the differences in sea surface temperature along the Niño 3.4 (A region along the Pacific Ocean that is shown in </w:t>
      </w:r>
      <w:r w:rsidR="00784AE9" w:rsidRPr="00784AE9">
        <w:rPr>
          <w:i/>
          <w:lang w:val="en-US"/>
        </w:rPr>
        <w:fldChar w:fldCharType="begin"/>
      </w:r>
      <w:r w:rsidR="00784AE9" w:rsidRPr="00784AE9">
        <w:rPr>
          <w:i/>
          <w:lang w:val="en-US"/>
        </w:rPr>
        <w:instrText xml:space="preserve"> REF _Ref8058968 \h </w:instrText>
      </w:r>
      <w:r w:rsidR="00784AE9" w:rsidRPr="00784AE9">
        <w:rPr>
          <w:i/>
          <w:lang w:val="en-US"/>
        </w:rPr>
      </w:r>
      <w:r w:rsidR="00784AE9" w:rsidRPr="00784AE9">
        <w:rPr>
          <w:i/>
          <w:lang w:val="en-US"/>
        </w:rPr>
        <w:instrText xml:space="preserve"> \* MERGEFORMAT </w:instrText>
      </w:r>
      <w:r w:rsidR="00784AE9" w:rsidRPr="00784AE9">
        <w:rPr>
          <w:i/>
          <w:lang w:val="en-US"/>
        </w:rPr>
        <w:fldChar w:fldCharType="separate"/>
      </w:r>
      <w:r w:rsidR="00784AE9" w:rsidRPr="00784AE9">
        <w:rPr>
          <w:i/>
          <w:lang w:val="en-US"/>
        </w:rPr>
        <w:t xml:space="preserve">Figure </w:t>
      </w:r>
      <w:r w:rsidR="00784AE9" w:rsidRPr="00784AE9">
        <w:rPr>
          <w:i/>
          <w:noProof/>
          <w:lang w:val="en-US"/>
        </w:rPr>
        <w:t>5</w:t>
      </w:r>
      <w:r w:rsidR="00784AE9" w:rsidRPr="00784AE9">
        <w:rPr>
          <w:i/>
          <w:lang w:val="en-US"/>
        </w:rPr>
        <w:fldChar w:fldCharType="end"/>
      </w:r>
      <w:r w:rsidR="009B0E42">
        <w:rPr>
          <w:lang w:val="en-US"/>
        </w:rPr>
        <w:t>)</w:t>
      </w:r>
      <w:r>
        <w:rPr>
          <w:lang w:val="en-US"/>
        </w:rPr>
        <w:t>. The probabilities for the ENSO are predictions that are made nine months ahead and show the estimate probability of there being La Niña, a neutral or El Niño event in a certain period of time (these probabilities always sum 1 for each estimation period). The probabilities are given by the CPC and IRI for overlapped three month periods (e.g., there is a January-February-March period  and there also is a February-March-May period); however, for the sake of making things easier, the probability estimation for a three month period is going to be supposed as it is the estimation for the month in the middle, for example, if the estimation for January-February-March is 60% La Niña, 40% neutral and 0% El Niño this is going to be taken as following: there is going to be a 60% probability that there is a La Niña event in February and there is going to be a 40% chance that there is a neutral event in February, with there being no chance for an El Niño event happening.</w:t>
      </w:r>
    </w:p>
    <w:p w:rsidR="00784AE9" w:rsidRDefault="009B0E42" w:rsidP="00784AE9">
      <w:pPr>
        <w:keepNext/>
        <w:jc w:val="center"/>
      </w:pPr>
      <w:r>
        <w:rPr>
          <w:noProof/>
          <w:lang w:eastAsia="es-CO"/>
        </w:rPr>
        <w:lastRenderedPageBreak/>
        <w:drawing>
          <wp:inline distT="0" distB="0" distL="0" distR="0">
            <wp:extent cx="4867275" cy="3124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ino-regions.gif"/>
                    <pic:cNvPicPr/>
                  </pic:nvPicPr>
                  <pic:blipFill>
                    <a:blip r:embed="rId14">
                      <a:extLst>
                        <a:ext uri="{28A0092B-C50C-407E-A947-70E740481C1C}">
                          <a14:useLocalDpi xmlns:a14="http://schemas.microsoft.com/office/drawing/2010/main" val="0"/>
                        </a:ext>
                      </a:extLst>
                    </a:blip>
                    <a:stretch>
                      <a:fillRect/>
                    </a:stretch>
                  </pic:blipFill>
                  <pic:spPr>
                    <a:xfrm>
                      <a:off x="0" y="0"/>
                      <a:ext cx="4867275" cy="3124200"/>
                    </a:xfrm>
                    <a:prstGeom prst="rect">
                      <a:avLst/>
                    </a:prstGeom>
                  </pic:spPr>
                </pic:pic>
              </a:graphicData>
            </a:graphic>
          </wp:inline>
        </w:drawing>
      </w:r>
    </w:p>
    <w:p w:rsidR="009B0E42" w:rsidRPr="00784AE9" w:rsidRDefault="00784AE9" w:rsidP="00784AE9">
      <w:pPr>
        <w:pStyle w:val="Descripcin"/>
        <w:jc w:val="center"/>
        <w:rPr>
          <w:lang w:val="en-US"/>
        </w:rPr>
      </w:pPr>
      <w:bookmarkStart w:id="8" w:name="_Ref8058968"/>
      <w:r w:rsidRPr="00784AE9">
        <w:rPr>
          <w:lang w:val="en-US"/>
        </w:rPr>
        <w:t xml:space="preserve">Figure </w:t>
      </w:r>
      <w:r>
        <w:fldChar w:fldCharType="begin"/>
      </w:r>
      <w:r w:rsidRPr="00784AE9">
        <w:rPr>
          <w:lang w:val="en-US"/>
        </w:rPr>
        <w:instrText xml:space="preserve"> SEQ Figure \* ARABIC </w:instrText>
      </w:r>
      <w:r>
        <w:fldChar w:fldCharType="separate"/>
      </w:r>
      <w:r>
        <w:rPr>
          <w:noProof/>
          <w:lang w:val="en-US"/>
        </w:rPr>
        <w:t>5</w:t>
      </w:r>
      <w:r>
        <w:fldChar w:fldCharType="end"/>
      </w:r>
      <w:bookmarkEnd w:id="8"/>
      <w:r>
        <w:t xml:space="preserve"> </w:t>
      </w:r>
      <w:r w:rsidRPr="00784AE9">
        <w:rPr>
          <w:lang w:val="en-US"/>
        </w:rPr>
        <w:t>El Niño regions. Taken from the National Oceanic and Atmospheric Administration. Avalibale at: https://www.ncdc.noaa.gov/teleconnections/enso/indicators/sst/</w:t>
      </w:r>
    </w:p>
    <w:p w:rsidR="00A15CCD" w:rsidRDefault="00D32C15" w:rsidP="00A15CCD">
      <w:pPr>
        <w:jc w:val="both"/>
        <w:rPr>
          <w:lang w:val="en-US"/>
        </w:rPr>
      </w:pPr>
      <w:r>
        <w:rPr>
          <w:lang w:val="en-US"/>
        </w:rPr>
        <w:t xml:space="preserve">Even though the </w:t>
      </w:r>
      <w:r w:rsidRPr="00784AE9">
        <w:rPr>
          <w:lang w:val="en-US"/>
        </w:rPr>
        <w:t>IRI and the CPC</w:t>
      </w:r>
      <w:r w:rsidR="00784AE9" w:rsidRPr="00784AE9">
        <w:rPr>
          <w:lang w:val="en-US"/>
        </w:rPr>
        <w:t xml:space="preserve"> </w:t>
      </w:r>
      <w:r w:rsidR="00784AE9">
        <w:rPr>
          <w:lang w:val="en-US"/>
        </w:rPr>
        <w:t>have</w:t>
      </w:r>
      <w:r>
        <w:rPr>
          <w:lang w:val="en-US"/>
        </w:rPr>
        <w:t xml:space="preserve"> been reporting this ENSO probabilities forecast since 2002,</w:t>
      </w:r>
      <w:r w:rsidR="00784AE9">
        <w:rPr>
          <w:lang w:val="en-US"/>
        </w:rPr>
        <w:t xml:space="preserve"> in this work</w:t>
      </w:r>
      <w:r>
        <w:rPr>
          <w:lang w:val="en-US"/>
        </w:rPr>
        <w:t xml:space="preserve"> </w:t>
      </w:r>
      <w:r w:rsidR="00784AE9">
        <w:rPr>
          <w:lang w:val="en-US"/>
        </w:rPr>
        <w:t>only the forecasts made</w:t>
      </w:r>
      <w:r>
        <w:rPr>
          <w:lang w:val="en-US"/>
        </w:rPr>
        <w:t xml:space="preserve"> </w:t>
      </w:r>
      <w:r w:rsidR="00784AE9">
        <w:rPr>
          <w:lang w:val="en-US"/>
        </w:rPr>
        <w:t>since</w:t>
      </w:r>
      <w:r>
        <w:rPr>
          <w:lang w:val="en-US"/>
        </w:rPr>
        <w:t xml:space="preserve"> 2012 </w:t>
      </w:r>
      <w:r w:rsidR="00784AE9">
        <w:rPr>
          <w:lang w:val="en-US"/>
        </w:rPr>
        <w:t>were taken into account</w:t>
      </w:r>
      <w:r>
        <w:rPr>
          <w:lang w:val="en-US"/>
        </w:rPr>
        <w:t>. This selection of the data was made because the data from 2002 to 2012 was published in a way that was very inconvenient for it to be merged into a database. It is worth noting that the IRI, since they adopted the new publishing format in 2012, publishes two different sets of probabilities</w:t>
      </w:r>
      <w:r w:rsidR="00C62C4B">
        <w:rPr>
          <w:lang w:val="en-US"/>
        </w:rPr>
        <w:t xml:space="preserve"> for each three-month period they forecast</w:t>
      </w:r>
      <w:r>
        <w:rPr>
          <w:lang w:val="en-US"/>
        </w:rPr>
        <w:t>; a set of probabilities that are obtained only by taking into account only a Predictions Plume of dynamic and stochastic models that forecast the Niño 3.4 Se</w:t>
      </w:r>
      <w:r w:rsidR="00C62C4B">
        <w:rPr>
          <w:lang w:val="en-US"/>
        </w:rPr>
        <w:t>a Surface Temperature anomalies</w:t>
      </w:r>
      <w:r>
        <w:rPr>
          <w:lang w:val="en-US"/>
        </w:rPr>
        <w:t xml:space="preserve"> and the official set of probabiliti</w:t>
      </w:r>
      <w:r w:rsidR="00C62C4B">
        <w:rPr>
          <w:lang w:val="en-US"/>
        </w:rPr>
        <w:t>es forecast that they publish,</w:t>
      </w:r>
      <w:r>
        <w:rPr>
          <w:lang w:val="en-US"/>
        </w:rPr>
        <w:t xml:space="preserve"> which is based on a consensus of CPC and IRI forecasters </w:t>
      </w:r>
      <w:r w:rsidR="00C62C4B">
        <w:rPr>
          <w:lang w:val="en-US"/>
        </w:rPr>
        <w:t>taking into account</w:t>
      </w:r>
      <w:r>
        <w:rPr>
          <w:lang w:val="en-US"/>
        </w:rPr>
        <w:t xml:space="preserve"> the predictive information of the ENSO Predictions Plume, observational information and human judgement. Both of these sets of probabilities will be used to create forecasting models for the electricity price in Colombia.  </w:t>
      </w:r>
      <w:bookmarkStart w:id="9" w:name="_Ref7610984"/>
    </w:p>
    <w:p w:rsidR="002F14BB" w:rsidRPr="00A15CCD" w:rsidRDefault="002F14BB" w:rsidP="00A15CCD">
      <w:pPr>
        <w:pStyle w:val="Ttulo2"/>
        <w:numPr>
          <w:ilvl w:val="1"/>
          <w:numId w:val="7"/>
        </w:numPr>
        <w:rPr>
          <w:lang w:val="en-US"/>
        </w:rPr>
      </w:pPr>
      <w:bookmarkStart w:id="10" w:name="_Ref7611136"/>
      <w:r w:rsidRPr="00A15CCD">
        <w:rPr>
          <w:lang w:val="en-US"/>
        </w:rPr>
        <w:t>Electricity Prices Data</w:t>
      </w:r>
      <w:bookmarkEnd w:id="9"/>
      <w:bookmarkEnd w:id="10"/>
    </w:p>
    <w:p w:rsidR="008E3A21" w:rsidRDefault="003B46FC" w:rsidP="00F75CA7">
      <w:pPr>
        <w:jc w:val="both"/>
        <w:rPr>
          <w:lang w:val="en-US"/>
        </w:rPr>
      </w:pPr>
      <w:r>
        <w:rPr>
          <w:lang w:val="en-US"/>
        </w:rPr>
        <w:t xml:space="preserve">For the estimation of the different models, the </w:t>
      </w:r>
      <w:r w:rsidR="00E0722E">
        <w:rPr>
          <w:lang w:val="en-US"/>
        </w:rPr>
        <w:t>prices of electric energy, per kWh, were obtained from XM’s (the Colombian electricity market manager) database. This database contains the</w:t>
      </w:r>
      <w:r w:rsidR="006D6781">
        <w:rPr>
          <w:lang w:val="en-US"/>
        </w:rPr>
        <w:t xml:space="preserve"> hourly prices of electricity 24 hours a day, seven days a week, in COP available from July 20</w:t>
      </w:r>
      <w:r w:rsidR="00F3654D">
        <w:rPr>
          <w:lang w:val="en-US"/>
        </w:rPr>
        <w:t>, 1995</w:t>
      </w:r>
      <w:r w:rsidR="006D6781">
        <w:rPr>
          <w:lang w:val="en-US"/>
        </w:rPr>
        <w:t xml:space="preserve"> </w:t>
      </w:r>
      <w:r w:rsidR="00F3654D" w:rsidRPr="008F7397">
        <w:rPr>
          <w:lang w:val="en-US"/>
        </w:rPr>
        <w:t>to</w:t>
      </w:r>
      <w:r w:rsidR="008F7397" w:rsidRPr="008F7397">
        <w:rPr>
          <w:lang w:val="en-US"/>
        </w:rPr>
        <w:t xml:space="preserve"> April 2, 2019</w:t>
      </w:r>
      <w:r w:rsidR="00F3654D">
        <w:rPr>
          <w:lang w:val="en-US"/>
        </w:rPr>
        <w:t xml:space="preserve">. </w:t>
      </w:r>
      <w:r w:rsidR="00D32C15">
        <w:rPr>
          <w:lang w:val="en-US"/>
        </w:rPr>
        <w:t xml:space="preserve">However, according to what was said before, only the prices from 2012 to are going to be used in this work. This data was sub-setted into a training set consisting of the spot price </w:t>
      </w:r>
      <w:r w:rsidR="000779B4">
        <w:rPr>
          <w:lang w:val="en-US"/>
        </w:rPr>
        <w:t xml:space="preserve">from January of </w:t>
      </w:r>
      <w:r w:rsidR="00D32C15">
        <w:rPr>
          <w:lang w:val="en-US"/>
        </w:rPr>
        <w:t>2012 and December</w:t>
      </w:r>
      <w:r w:rsidR="000779B4">
        <w:rPr>
          <w:lang w:val="en-US"/>
        </w:rPr>
        <w:t xml:space="preserve"> of 2016</w:t>
      </w:r>
      <w:r w:rsidR="00264646">
        <w:rPr>
          <w:lang w:val="en-US"/>
        </w:rPr>
        <w:t xml:space="preserve"> and</w:t>
      </w:r>
      <w:r w:rsidR="000779B4">
        <w:rPr>
          <w:lang w:val="en-US"/>
        </w:rPr>
        <w:t xml:space="preserve"> </w:t>
      </w:r>
      <w:r w:rsidR="00831C34">
        <w:rPr>
          <w:lang w:val="en-US"/>
        </w:rPr>
        <w:t>a validation set</w:t>
      </w:r>
      <w:r w:rsidR="00264646">
        <w:rPr>
          <w:lang w:val="en-US"/>
        </w:rPr>
        <w:t xml:space="preserve"> consisting of prices from January to December of 2017.</w:t>
      </w:r>
      <w:r w:rsidR="00831C34">
        <w:rPr>
          <w:lang w:val="en-US"/>
        </w:rPr>
        <w:t xml:space="preserve"> </w:t>
      </w:r>
    </w:p>
    <w:p w:rsidR="007513AD" w:rsidRDefault="008E3A21" w:rsidP="00F75CA7">
      <w:pPr>
        <w:jc w:val="both"/>
        <w:rPr>
          <w:lang w:val="en-US"/>
        </w:rPr>
      </w:pPr>
      <w:r>
        <w:rPr>
          <w:lang w:val="en-US"/>
        </w:rPr>
        <w:t xml:space="preserve">As it was determined that these prices were stationary </w:t>
      </w:r>
      <w:sdt>
        <w:sdtPr>
          <w:rPr>
            <w:lang w:val="en-US"/>
          </w:rPr>
          <w:id w:val="-1502429854"/>
          <w:citation/>
        </w:sdtPr>
        <w:sdtContent>
          <w:r>
            <w:rPr>
              <w:lang w:val="en-US"/>
            </w:rPr>
            <w:fldChar w:fldCharType="begin"/>
          </w:r>
          <w:r w:rsidR="00A85901">
            <w:rPr>
              <w:lang w:val="en-US"/>
            </w:rPr>
            <w:instrText xml:space="preserve">CITATION Cab16 \l 9226 </w:instrText>
          </w:r>
          <w:r>
            <w:rPr>
              <w:lang w:val="en-US"/>
            </w:rPr>
            <w:fldChar w:fldCharType="separate"/>
          </w:r>
          <w:r w:rsidR="00A85901">
            <w:rPr>
              <w:noProof/>
              <w:lang w:val="en-US"/>
            </w:rPr>
            <w:t>(Cabrales &amp; Uriza, 2016)</w:t>
          </w:r>
          <w:r>
            <w:rPr>
              <w:lang w:val="en-US"/>
            </w:rPr>
            <w:fldChar w:fldCharType="end"/>
          </w:r>
        </w:sdtContent>
      </w:sdt>
      <w:r w:rsidR="00A85901">
        <w:rPr>
          <w:lang w:val="en-US"/>
        </w:rPr>
        <w:t xml:space="preserve">, </w:t>
      </w:r>
      <w:r w:rsidR="00C00C4D">
        <w:rPr>
          <w:lang w:val="en-US"/>
        </w:rPr>
        <w:t>the most dominant frequencies h</w:t>
      </w:r>
      <w:r w:rsidR="00071345">
        <w:rPr>
          <w:lang w:val="en-US"/>
        </w:rPr>
        <w:t xml:space="preserve">ad to be determined. For this purpose, </w:t>
      </w:r>
      <w:r w:rsidR="005F41D9">
        <w:rPr>
          <w:lang w:val="en-US"/>
        </w:rPr>
        <w:t xml:space="preserve">a method that was implemented in R by Robin J. Hyndaman (Professor of Statistics at Monash University) was used. </w:t>
      </w:r>
      <w:r w:rsidR="00B2336D">
        <w:rPr>
          <w:lang w:val="en-US"/>
        </w:rPr>
        <w:t xml:space="preserve">This method determines the dominant frequency from a spectral analysis from </w:t>
      </w:r>
      <w:r w:rsidR="00324C19">
        <w:rPr>
          <w:lang w:val="en-US"/>
        </w:rPr>
        <w:t>a</w:t>
      </w:r>
      <w:r w:rsidR="00B2336D">
        <w:rPr>
          <w:lang w:val="en-US"/>
        </w:rPr>
        <w:t xml:space="preserve"> time series. First, a linear trend is removed and </w:t>
      </w:r>
      <w:r w:rsidR="00B2336D">
        <w:rPr>
          <w:lang w:val="en-US"/>
        </w:rPr>
        <w:lastRenderedPageBreak/>
        <w:t>then the spectral density function is estimated from the best fitting autoregressive model (based on the AIC). If there is a large maximum in the spectral density at a frequency f, then the dominant period will be 1/f (rounded to the nearest integer). If there is no dominant frequency, this method will return 1 as the “dominant period”.</w:t>
      </w:r>
      <w:sdt>
        <w:sdtPr>
          <w:rPr>
            <w:lang w:val="en-US"/>
          </w:rPr>
          <w:id w:val="1381208272"/>
          <w:citation/>
        </w:sdtPr>
        <w:sdtContent>
          <w:r w:rsidR="00B2336D">
            <w:rPr>
              <w:lang w:val="en-US"/>
            </w:rPr>
            <w:fldChar w:fldCharType="begin"/>
          </w:r>
          <w:r w:rsidR="00B2336D" w:rsidRPr="00B2336D">
            <w:rPr>
              <w:lang w:val="en-US"/>
            </w:rPr>
            <w:instrText xml:space="preserve"> CITATION Pac19 \l 9226 </w:instrText>
          </w:r>
          <w:r w:rsidR="00B2336D">
            <w:rPr>
              <w:lang w:val="en-US"/>
            </w:rPr>
            <w:fldChar w:fldCharType="separate"/>
          </w:r>
          <w:r w:rsidR="00B2336D" w:rsidRPr="00B2336D">
            <w:rPr>
              <w:noProof/>
              <w:lang w:val="en-US"/>
            </w:rPr>
            <w:t xml:space="preserve"> </w:t>
          </w:r>
          <w:r w:rsidR="00B2336D" w:rsidRPr="00324C19">
            <w:rPr>
              <w:noProof/>
              <w:lang w:val="en-US"/>
            </w:rPr>
            <w:t>(Package 'forecast', 2019)</w:t>
          </w:r>
          <w:r w:rsidR="00B2336D">
            <w:rPr>
              <w:lang w:val="en-US"/>
            </w:rPr>
            <w:fldChar w:fldCharType="end"/>
          </w:r>
        </w:sdtContent>
      </w:sdt>
      <w:r w:rsidR="00B2336D">
        <w:rPr>
          <w:lang w:val="en-US"/>
        </w:rPr>
        <w:t xml:space="preserve"> </w:t>
      </w:r>
      <w:r w:rsidR="007513AD">
        <w:rPr>
          <w:lang w:val="en-US"/>
        </w:rPr>
        <w:t>For obtaining the dominant freq</w:t>
      </w:r>
      <w:r w:rsidR="00741814">
        <w:rPr>
          <w:lang w:val="en-US"/>
        </w:rPr>
        <w:t>uencies, this method was used for different time series</w:t>
      </w:r>
      <w:r w:rsidR="00884CB1">
        <w:rPr>
          <w:lang w:val="en-US"/>
        </w:rPr>
        <w:t xml:space="preserve"> (that all go from January, 2012 to December,</w:t>
      </w:r>
      <w:r w:rsidR="00A71810">
        <w:rPr>
          <w:lang w:val="en-US"/>
        </w:rPr>
        <w:t xml:space="preserve"> </w:t>
      </w:r>
      <w:r w:rsidR="00884CB1">
        <w:rPr>
          <w:lang w:val="en-US"/>
        </w:rPr>
        <w:t>2017)</w:t>
      </w:r>
      <w:r w:rsidR="00741814">
        <w:rPr>
          <w:lang w:val="en-US"/>
        </w:rPr>
        <w:t xml:space="preserve"> in order to evaluate if there are different seasons that affect the movement of the electricity prices in Colombia</w:t>
      </w:r>
      <w:r w:rsidR="002F7B13">
        <w:rPr>
          <w:lang w:val="en-US"/>
        </w:rPr>
        <w:t>, the different time series that were used to determine these dominant frequencies were</w:t>
      </w:r>
      <w:r w:rsidR="007513AD">
        <w:rPr>
          <w:lang w:val="en-US"/>
        </w:rPr>
        <w:t>:</w:t>
      </w:r>
    </w:p>
    <w:p w:rsidR="003B46FC" w:rsidRDefault="007513AD" w:rsidP="007513AD">
      <w:pPr>
        <w:pStyle w:val="Prrafodelista"/>
        <w:numPr>
          <w:ilvl w:val="0"/>
          <w:numId w:val="1"/>
        </w:numPr>
        <w:jc w:val="both"/>
        <w:rPr>
          <w:lang w:val="en-US"/>
        </w:rPr>
      </w:pPr>
      <w:r>
        <w:rPr>
          <w:lang w:val="en-US"/>
        </w:rPr>
        <w:t>T</w:t>
      </w:r>
      <w:r w:rsidR="00324C19" w:rsidRPr="007513AD">
        <w:rPr>
          <w:lang w:val="en-US"/>
        </w:rPr>
        <w:t xml:space="preserve">he </w:t>
      </w:r>
      <w:r w:rsidRPr="007513AD">
        <w:rPr>
          <w:lang w:val="en-US"/>
        </w:rPr>
        <w:t>hourly prices’ time series (in order to determ</w:t>
      </w:r>
      <w:r>
        <w:rPr>
          <w:lang w:val="en-US"/>
        </w:rPr>
        <w:t>ine a dominant period in hours).</w:t>
      </w:r>
    </w:p>
    <w:p w:rsidR="007513AD" w:rsidRDefault="007513AD" w:rsidP="007513AD">
      <w:pPr>
        <w:pStyle w:val="Prrafodelista"/>
        <w:numPr>
          <w:ilvl w:val="0"/>
          <w:numId w:val="1"/>
        </w:numPr>
        <w:jc w:val="both"/>
        <w:rPr>
          <w:lang w:val="en-US"/>
        </w:rPr>
      </w:pPr>
      <w:r>
        <w:rPr>
          <w:lang w:val="en-US"/>
        </w:rPr>
        <w:t>The daily average prices’ time series (in order to determine a dominant period in days).</w:t>
      </w:r>
    </w:p>
    <w:p w:rsidR="007513AD" w:rsidRDefault="007513AD" w:rsidP="007513AD">
      <w:pPr>
        <w:pStyle w:val="Prrafodelista"/>
        <w:numPr>
          <w:ilvl w:val="0"/>
          <w:numId w:val="1"/>
        </w:numPr>
        <w:jc w:val="both"/>
        <w:rPr>
          <w:lang w:val="en-US"/>
        </w:rPr>
      </w:pPr>
      <w:r>
        <w:rPr>
          <w:lang w:val="en-US"/>
        </w:rPr>
        <w:t>The monthly average prices’ time series (in order to determine a dominant period in months).</w:t>
      </w:r>
    </w:p>
    <w:p w:rsidR="007513AD" w:rsidRDefault="007513AD" w:rsidP="007513AD">
      <w:pPr>
        <w:pStyle w:val="Prrafodelista"/>
        <w:numPr>
          <w:ilvl w:val="0"/>
          <w:numId w:val="1"/>
        </w:numPr>
        <w:jc w:val="both"/>
        <w:rPr>
          <w:lang w:val="en-US"/>
        </w:rPr>
      </w:pPr>
      <w:r>
        <w:rPr>
          <w:lang w:val="en-US"/>
        </w:rPr>
        <w:t xml:space="preserve">The yearly average prices’ time series (in order to determine a dominant period in years). </w:t>
      </w:r>
    </w:p>
    <w:p w:rsidR="002F7B13" w:rsidRDefault="002F7B13" w:rsidP="002F7B13">
      <w:pPr>
        <w:jc w:val="both"/>
        <w:rPr>
          <w:lang w:val="en-US"/>
        </w:rPr>
      </w:pPr>
      <w:r>
        <w:rPr>
          <w:lang w:val="en-US"/>
        </w:rPr>
        <w:t>The results of these</w:t>
      </w:r>
      <w:r w:rsidR="00CD6A05">
        <w:rPr>
          <w:lang w:val="en-US"/>
        </w:rPr>
        <w:t xml:space="preserve"> estimations were the following:</w:t>
      </w:r>
    </w:p>
    <w:p w:rsidR="00CD6A05" w:rsidRDefault="00CD6A05" w:rsidP="002F7B13">
      <w:pPr>
        <w:jc w:val="both"/>
        <w:rPr>
          <w:lang w:val="en-US"/>
        </w:rPr>
      </w:pPr>
    </w:p>
    <w:p w:rsidR="001C5BFB" w:rsidRPr="00297BAE" w:rsidRDefault="00D34D89" w:rsidP="00F75CA7">
      <w:pPr>
        <w:jc w:val="both"/>
        <w:rPr>
          <w:lang w:val="en-US"/>
        </w:rPr>
      </w:pPr>
      <w:r>
        <w:rPr>
          <w:lang w:val="en-US"/>
        </w:rPr>
        <w:t xml:space="preserve">As it can be seen </w:t>
      </w:r>
      <w:r w:rsidRPr="00D34D89">
        <w:rPr>
          <w:b/>
          <w:color w:val="FF0000"/>
          <w:lang w:val="en-US"/>
        </w:rPr>
        <w:t>in</w:t>
      </w:r>
      <w:r w:rsidR="00CD6A05">
        <w:rPr>
          <w:lang w:val="en-US"/>
        </w:rPr>
        <w:t xml:space="preserve">, the dominant period that resulted from the hourly prices analysis was that there is a strong intra-day </w:t>
      </w:r>
      <w:r>
        <w:rPr>
          <w:lang w:val="en-US"/>
        </w:rPr>
        <w:t>behavior in which electricity prices rise early in the morning due to people waking up and using electricity to power up their home appliances, which provokes an increase in electric energy’s demand</w:t>
      </w:r>
      <w:r w:rsidR="0098653C">
        <w:rPr>
          <w:lang w:val="en-US"/>
        </w:rPr>
        <w:t>, then prices go down steadily and then they increase at night due to the need of using electricity to power</w:t>
      </w:r>
      <w:r w:rsidR="005E2B71">
        <w:rPr>
          <w:lang w:val="en-US"/>
        </w:rPr>
        <w:t xml:space="preserve"> domestic</w:t>
      </w:r>
      <w:r w:rsidR="0098653C">
        <w:rPr>
          <w:lang w:val="en-US"/>
        </w:rPr>
        <w:t xml:space="preserve"> </w:t>
      </w:r>
      <w:r w:rsidR="005E2B71">
        <w:rPr>
          <w:lang w:val="en-US"/>
        </w:rPr>
        <w:t xml:space="preserve">light bulbs, street lights and home appliances that are turned on by people which have returned to their homes. Second, we have a non-intuitive dominant period of </w:t>
      </w:r>
      <w:bookmarkStart w:id="11" w:name="_GoBack"/>
      <w:r w:rsidR="008F7397" w:rsidRPr="008F7397">
        <w:rPr>
          <w:lang w:val="en-US"/>
        </w:rPr>
        <w:t>11</w:t>
      </w:r>
      <w:bookmarkEnd w:id="11"/>
      <w:r w:rsidR="005E2B71">
        <w:rPr>
          <w:lang w:val="en-US"/>
        </w:rPr>
        <w:t xml:space="preserve"> days. Third, there is</w:t>
      </w:r>
      <w:r w:rsidR="001A63F0">
        <w:rPr>
          <w:lang w:val="en-US"/>
        </w:rPr>
        <w:t xml:space="preserve"> another non-intuitive dominant</w:t>
      </w:r>
      <w:r w:rsidR="000F6562">
        <w:rPr>
          <w:lang w:val="en-US"/>
        </w:rPr>
        <w:t xml:space="preserve">. Lastly, we can see that there is no dominant yearly period because of its result being 1 </w:t>
      </w:r>
      <w:r w:rsidR="005E2B71">
        <w:rPr>
          <w:lang w:val="en-US"/>
        </w:rPr>
        <w:t xml:space="preserve"> </w:t>
      </w:r>
    </w:p>
    <w:p w:rsidR="00186C03" w:rsidRDefault="00186C03" w:rsidP="00F169A9">
      <w:pPr>
        <w:pStyle w:val="Ttulo1"/>
        <w:numPr>
          <w:ilvl w:val="0"/>
          <w:numId w:val="2"/>
        </w:numPr>
        <w:rPr>
          <w:b/>
          <w:lang w:val="en-US"/>
        </w:rPr>
      </w:pPr>
      <w:r>
        <w:rPr>
          <w:b/>
          <w:lang w:val="en-US"/>
        </w:rPr>
        <w:t>Model Specification and estimation</w:t>
      </w:r>
    </w:p>
    <w:p w:rsidR="00F169A9" w:rsidRPr="00707445" w:rsidRDefault="00707445" w:rsidP="00F75CA7">
      <w:pPr>
        <w:jc w:val="both"/>
        <w:rPr>
          <w:lang w:val="en-US"/>
        </w:rPr>
      </w:pPr>
      <w:r>
        <w:rPr>
          <w:lang w:val="en-US"/>
        </w:rPr>
        <w:t xml:space="preserve">According to </w:t>
      </w:r>
      <w:r w:rsidR="00F828E5">
        <w:rPr>
          <w:lang w:val="en-US"/>
        </w:rPr>
        <w:t xml:space="preserve">what was proposed </w:t>
      </w:r>
      <w:r w:rsidR="00F828E5" w:rsidRPr="00F828E5">
        <w:rPr>
          <w:b/>
          <w:color w:val="FF0000"/>
          <w:lang w:val="en-US"/>
        </w:rPr>
        <w:t>by</w:t>
      </w:r>
      <w:r w:rsidR="00F828E5">
        <w:rPr>
          <w:lang w:val="en-US"/>
        </w:rPr>
        <w:t xml:space="preserve"> , the price behavior is going to</w:t>
      </w:r>
      <w:r w:rsidR="000C4C4E">
        <w:rPr>
          <w:lang w:val="en-US"/>
        </w:rPr>
        <w:t xml:space="preserve"> be described by two components.</w:t>
      </w:r>
      <w:r w:rsidR="00F828E5">
        <w:rPr>
          <w:lang w:val="en-US"/>
        </w:rPr>
        <w:t xml:space="preserve"> </w:t>
      </w:r>
      <w:r w:rsidR="000C4C4E">
        <w:rPr>
          <w:lang w:val="en-US"/>
        </w:rPr>
        <w:t>O</w:t>
      </w:r>
      <w:r w:rsidR="004D1D94">
        <w:rPr>
          <w:lang w:val="en-US"/>
        </w:rPr>
        <w:t>ne component that</w:t>
      </w:r>
      <w:r w:rsidR="000C4C4E">
        <w:rPr>
          <w:lang w:val="en-US"/>
        </w:rPr>
        <w:t xml:space="preserve"> comprises all the predictable dynamics of the prices’ time series, such as cyclical behavior (that involves the dominant frequencies that were found in the</w:t>
      </w:r>
      <w:r w:rsidR="000C4C4E">
        <w:rPr>
          <w:b/>
          <w:lang w:val="en-US"/>
        </w:rPr>
        <w:t xml:space="preserve"> </w:t>
      </w:r>
      <w:r w:rsidR="000C4C4E">
        <w:rPr>
          <w:b/>
          <w:lang w:val="en-US"/>
        </w:rPr>
        <w:fldChar w:fldCharType="begin"/>
      </w:r>
      <w:r w:rsidR="000C4C4E">
        <w:rPr>
          <w:b/>
          <w:lang w:val="en-US"/>
        </w:rPr>
        <w:instrText xml:space="preserve"> REF _Ref7515732 \h </w:instrText>
      </w:r>
      <w:r w:rsidR="000C4C4E">
        <w:rPr>
          <w:b/>
          <w:lang w:val="en-US"/>
        </w:rPr>
      </w:r>
      <w:r w:rsidR="000C4C4E">
        <w:rPr>
          <w:b/>
          <w:lang w:val="en-US"/>
        </w:rPr>
        <w:fldChar w:fldCharType="separate"/>
      </w:r>
      <w:r w:rsidR="000C4C4E">
        <w:rPr>
          <w:b/>
          <w:lang w:val="en-US"/>
        </w:rPr>
        <w:t>Data collection and analysis</w:t>
      </w:r>
      <w:r w:rsidR="000C4C4E">
        <w:rPr>
          <w:b/>
          <w:lang w:val="en-US"/>
        </w:rPr>
        <w:fldChar w:fldCharType="end"/>
      </w:r>
      <w:r w:rsidR="000C4C4E">
        <w:rPr>
          <w:lang w:val="en-US"/>
        </w:rPr>
        <w:t>), a deterministic upwards trend and the probabilities of the ENSO phases. The other component is purely stochastic and</w:t>
      </w:r>
      <w:r w:rsidR="00F169A9">
        <w:rPr>
          <w:lang w:val="en-US"/>
        </w:rPr>
        <w:t xml:space="preserve"> it</w:t>
      </w:r>
      <w:r w:rsidR="000C4C4E">
        <w:rPr>
          <w:lang w:val="en-US"/>
        </w:rPr>
        <w:t xml:space="preserve"> was assumed </w:t>
      </w:r>
      <w:r w:rsidR="00F169A9">
        <w:rPr>
          <w:lang w:val="en-US"/>
        </w:rPr>
        <w:t>that it</w:t>
      </w:r>
      <w:r w:rsidR="000C4C4E">
        <w:rPr>
          <w:lang w:val="en-US"/>
        </w:rPr>
        <w:t xml:space="preserve"> follow</w:t>
      </w:r>
      <w:r w:rsidR="00F169A9">
        <w:rPr>
          <w:lang w:val="en-US"/>
        </w:rPr>
        <w:t>s</w:t>
      </w:r>
      <w:r w:rsidR="000C4C4E">
        <w:rPr>
          <w:lang w:val="en-US"/>
        </w:rPr>
        <w:t xml:space="preserve"> a particular continuous diffusion process</w:t>
      </w:r>
      <w:r w:rsidR="00F169A9">
        <w:rPr>
          <w:lang w:val="en-US"/>
        </w:rPr>
        <w:t>.</w:t>
      </w:r>
    </w:p>
    <w:p w:rsidR="00F169A9" w:rsidRDefault="00F169A9" w:rsidP="00DB7692">
      <w:pPr>
        <w:pStyle w:val="Ttulo2"/>
        <w:numPr>
          <w:ilvl w:val="1"/>
          <w:numId w:val="6"/>
        </w:numPr>
        <w:rPr>
          <w:b/>
          <w:lang w:val="en-US"/>
        </w:rPr>
      </w:pPr>
      <w:r w:rsidRPr="00F169A9">
        <w:rPr>
          <w:b/>
          <w:lang w:val="en-US"/>
        </w:rPr>
        <w:t>Price Modeling</w:t>
      </w:r>
      <w:r w:rsidR="001A63F0">
        <w:rPr>
          <w:b/>
          <w:lang w:val="en-US"/>
        </w:rPr>
        <w:t xml:space="preserve"> (Mean Reversion)</w:t>
      </w:r>
    </w:p>
    <w:p w:rsidR="00B96394" w:rsidRDefault="001A63F0" w:rsidP="001A63F0">
      <w:pPr>
        <w:jc w:val="both"/>
        <w:rPr>
          <w:lang w:val="en-US"/>
        </w:rPr>
      </w:pPr>
      <w:r w:rsidRPr="001A63F0">
        <w:rPr>
          <w:lang w:val="en-US"/>
        </w:rPr>
        <w:t xml:space="preserve">The stochastic process followed by the </w:t>
      </w:r>
      <w:r>
        <w:rPr>
          <w:lang w:val="en-US"/>
        </w:rPr>
        <w:t xml:space="preserve">electricity spot prices are expressed as the sum of the deterministic component, which is a function </w:t>
      </w:r>
      <m:oMath>
        <m:r>
          <w:rPr>
            <w:rFonts w:ascii="Cambria Math" w:hAnsi="Cambria Math"/>
            <w:lang w:val="en-US"/>
          </w:rPr>
          <m:t>f(t,P)</m:t>
        </m:r>
      </m:oMath>
      <w:r w:rsidR="00B96394">
        <w:rPr>
          <w:rFonts w:eastAsiaTheme="minorEastAsia"/>
          <w:lang w:val="en-US"/>
        </w:rPr>
        <w:t xml:space="preserve"> that depends on the time </w:t>
      </w:r>
      <m:oMath>
        <m:r>
          <w:rPr>
            <w:rFonts w:ascii="Cambria Math" w:eastAsiaTheme="minorEastAsia" w:hAnsi="Cambria Math"/>
            <w:lang w:val="en-US"/>
          </w:rPr>
          <m:t>t</m:t>
        </m:r>
      </m:oMath>
      <w:r w:rsidR="00B96394">
        <w:rPr>
          <w:rFonts w:eastAsiaTheme="minorEastAsia"/>
          <w:lang w:val="en-US"/>
        </w:rPr>
        <w:t xml:space="preserve"> and a forecast for the set of probabilities P for each of the phases of the ENSO cycle for that specific time, </w:t>
      </w:r>
      <w:r>
        <w:rPr>
          <w:lang w:val="en-US"/>
        </w:rPr>
        <w:t>and the stochastic component</w:t>
      </w:r>
      <w:r w:rsidR="00B96394">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w:t>
      </w:r>
      <w:r w:rsidR="00B96394">
        <w:rPr>
          <w:lang w:val="en-US"/>
        </w:rPr>
        <w:t xml:space="preserve"> Therefore, the spot prices are going to be </w:t>
      </w:r>
      <w:r w:rsidR="00DF17D4">
        <w:rPr>
          <w:lang w:val="en-US"/>
        </w:rPr>
        <w:t>modelled</w:t>
      </w:r>
      <w:r w:rsidR="00B96394">
        <w:rPr>
          <w:lang w:val="en-US"/>
        </w:rPr>
        <w:t xml:space="preserve">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DF4C4F" w:rsidTr="00C97F16">
        <w:tc>
          <w:tcPr>
            <w:tcW w:w="704" w:type="dxa"/>
            <w:vAlign w:val="center"/>
          </w:tcPr>
          <w:p w:rsidR="00DF4C4F" w:rsidRDefault="00DF4C4F" w:rsidP="00C97F16">
            <w:pPr>
              <w:jc w:val="center"/>
              <w:rPr>
                <w:lang w:val="en-US"/>
              </w:rPr>
            </w:pPr>
          </w:p>
        </w:tc>
        <w:tc>
          <w:tcPr>
            <w:tcW w:w="7371" w:type="dxa"/>
            <w:vAlign w:val="center"/>
          </w:tcPr>
          <w:p w:rsidR="00DF4C4F" w:rsidRPr="007F4226" w:rsidRDefault="009B0E42" w:rsidP="00DF4C4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f</m:t>
                </m:r>
                <m:d>
                  <m:dPr>
                    <m:ctrlPr>
                      <w:rPr>
                        <w:rFonts w:ascii="Cambria Math" w:hAnsi="Cambria Math"/>
                        <w:i/>
                        <w:lang w:val="en-US"/>
                      </w:rPr>
                    </m:ctrlPr>
                  </m:dPr>
                  <m:e>
                    <m:r>
                      <w:rPr>
                        <w:rFonts w:ascii="Cambria Math" w:hAnsi="Cambria Math"/>
                        <w:lang w:val="en-US"/>
                      </w:rPr>
                      <m:t>t,P</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p w:rsidR="00DF4C4F" w:rsidRDefault="00DF4C4F" w:rsidP="00C97F16">
            <w:pPr>
              <w:jc w:val="center"/>
              <w:rPr>
                <w:lang w:val="en-US"/>
              </w:rPr>
            </w:pPr>
          </w:p>
        </w:tc>
        <w:tc>
          <w:tcPr>
            <w:tcW w:w="753" w:type="dxa"/>
            <w:vAlign w:val="center"/>
          </w:tcPr>
          <w:p w:rsidR="00DF4C4F" w:rsidRDefault="00DF4C4F"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2</w:t>
            </w:r>
            <w:r>
              <w:rPr>
                <w:lang w:val="en-US"/>
              </w:rPr>
              <w:fldChar w:fldCharType="end"/>
            </w:r>
            <w:r>
              <w:rPr>
                <w:lang w:val="en-US"/>
              </w:rPr>
              <w:t>)</w:t>
            </w:r>
          </w:p>
        </w:tc>
      </w:tr>
    </w:tbl>
    <w:p w:rsidR="007F4226" w:rsidRDefault="007F4226" w:rsidP="001A63F0">
      <w:pPr>
        <w:jc w:val="both"/>
        <w:rPr>
          <w:rFonts w:eastAsiaTheme="minorEastAsia"/>
          <w:lang w:val="en-US"/>
        </w:rPr>
      </w:pPr>
      <w:r>
        <w:rPr>
          <w:rFonts w:eastAsiaTheme="minorEastAsia"/>
          <w:lang w:val="en-US"/>
        </w:rPr>
        <w:t>Where: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DF4C4F" w:rsidTr="00C97F16">
        <w:tc>
          <w:tcPr>
            <w:tcW w:w="704" w:type="dxa"/>
            <w:vAlign w:val="center"/>
          </w:tcPr>
          <w:p w:rsidR="00DF4C4F" w:rsidRDefault="00DF4C4F" w:rsidP="00C97F16">
            <w:pPr>
              <w:jc w:val="center"/>
              <w:rPr>
                <w:lang w:val="en-US"/>
              </w:rPr>
            </w:pPr>
          </w:p>
        </w:tc>
        <w:tc>
          <w:tcPr>
            <w:tcW w:w="7371" w:type="dxa"/>
            <w:vAlign w:val="center"/>
          </w:tcPr>
          <w:p w:rsidR="00DF4C4F" w:rsidRPr="007F4226" w:rsidRDefault="00DF4C4F" w:rsidP="00DF4C4F">
            <w:pPr>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=-κ</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+σdZ</m:t>
                </m:r>
              </m:oMath>
            </m:oMathPara>
          </w:p>
          <w:p w:rsidR="00DF4C4F" w:rsidRDefault="00DF4C4F" w:rsidP="00C97F16">
            <w:pPr>
              <w:jc w:val="center"/>
              <w:rPr>
                <w:lang w:val="en-US"/>
              </w:rPr>
            </w:pPr>
          </w:p>
        </w:tc>
        <w:tc>
          <w:tcPr>
            <w:tcW w:w="753" w:type="dxa"/>
            <w:vAlign w:val="center"/>
          </w:tcPr>
          <w:p w:rsidR="00DF4C4F" w:rsidRDefault="00DF4C4F" w:rsidP="00DF4C4F">
            <w:pPr>
              <w:jc w:val="center"/>
              <w:rPr>
                <w:lang w:val="en-US"/>
              </w:rPr>
            </w:pPr>
            <w:r>
              <w:rPr>
                <w:lang w:val="en-US"/>
              </w:rPr>
              <w:lastRenderedPageBreak/>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3</w:t>
            </w:r>
            <w:r>
              <w:rPr>
                <w:lang w:val="en-US"/>
              </w:rPr>
              <w:fldChar w:fldCharType="end"/>
            </w:r>
            <w:r>
              <w:rPr>
                <w:lang w:val="en-US"/>
              </w:rPr>
              <w:t>)</w:t>
            </w:r>
          </w:p>
        </w:tc>
      </w:tr>
    </w:tbl>
    <w:p w:rsidR="007F4226" w:rsidRDefault="007F4226" w:rsidP="001A63F0">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k&gt;0</m:t>
        </m:r>
      </m:oMath>
      <w:r>
        <w:rPr>
          <w:rFonts w:eastAsiaTheme="minorEastAsia"/>
          <w:lang w:val="en-US"/>
        </w:rPr>
        <w:t xml:space="preserve"> and </w:t>
      </w:r>
      <m:oMath>
        <m:r>
          <w:rPr>
            <w:rFonts w:ascii="Cambria Math" w:eastAsiaTheme="minorEastAsia" w:hAnsi="Cambria Math"/>
            <w:lang w:val="en-US"/>
          </w:rPr>
          <m:t>dZ</m:t>
        </m:r>
      </m:oMath>
      <w:r>
        <w:rPr>
          <w:rFonts w:eastAsiaTheme="minorEastAsia"/>
          <w:lang w:val="en-US"/>
        </w:rPr>
        <w:t xml:space="preserve"> stands for an increment to a standard Brownian motion. Therefore,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rFonts w:eastAsiaTheme="minorEastAsia"/>
          <w:lang w:val="en-US"/>
        </w:rPr>
        <w:t xml:space="preserve"> follow</w:t>
      </w:r>
      <w:r w:rsidR="00DB7692">
        <w:rPr>
          <w:rFonts w:eastAsiaTheme="minorEastAsia"/>
          <w:lang w:val="en-US"/>
        </w:rPr>
        <w:t xml:space="preserve">s a mean reversion process, also known as </w:t>
      </w:r>
      <w:r w:rsidR="00DB7692">
        <w:rPr>
          <w:rFonts w:eastAsiaTheme="minorEastAsia"/>
          <w:lang w:val="en-US"/>
        </w:rPr>
        <w:fldChar w:fldCharType="begin"/>
      </w:r>
      <w:r w:rsidR="00DB7692">
        <w:rPr>
          <w:rFonts w:eastAsiaTheme="minorEastAsia"/>
          <w:lang w:val="en-US"/>
        </w:rPr>
        <w:instrText xml:space="preserve"> REF _Ref7519735 \h </w:instrText>
      </w:r>
      <w:r w:rsidR="00DB7692">
        <w:rPr>
          <w:rFonts w:eastAsiaTheme="minorEastAsia"/>
          <w:lang w:val="en-US"/>
        </w:rPr>
      </w:r>
      <w:r w:rsidR="00DB7692">
        <w:rPr>
          <w:rFonts w:eastAsiaTheme="minorEastAsia"/>
          <w:lang w:val="en-US"/>
        </w:rPr>
        <w:fldChar w:fldCharType="separate"/>
      </w:r>
      <w:r w:rsidR="00DB7692">
        <w:rPr>
          <w:rFonts w:eastAsiaTheme="minorEastAsia"/>
          <w:lang w:val="en-US"/>
        </w:rPr>
        <w:t>Ornstein-Uhlenbeck</w:t>
      </w:r>
      <w:r w:rsidR="00DB7692">
        <w:rPr>
          <w:rFonts w:eastAsiaTheme="minorEastAsia"/>
          <w:lang w:val="en-US"/>
        </w:rPr>
        <w:fldChar w:fldCharType="end"/>
      </w:r>
      <w:r w:rsidR="00DB7692">
        <w:rPr>
          <w:rFonts w:eastAsiaTheme="minorEastAsia"/>
          <w:lang w:val="en-US"/>
        </w:rPr>
        <w:t>, which was explained before</w:t>
      </w:r>
      <w:r w:rsidR="0039757F">
        <w:rPr>
          <w:rFonts w:eastAsiaTheme="minorEastAsia"/>
          <w:lang w:val="en-US"/>
        </w:rPr>
        <w:t xml:space="preserve">, with a long run mean of zero and a </w:t>
      </w:r>
      <m:oMath>
        <m:r>
          <w:rPr>
            <w:rFonts w:ascii="Cambria Math" w:hAnsi="Cambria Math"/>
            <w:lang w:val="en-US"/>
          </w:rPr>
          <m:t>κ</m:t>
        </m:r>
      </m:oMath>
      <w:r w:rsidR="0039757F">
        <w:rPr>
          <w:rFonts w:eastAsiaTheme="minorEastAsia"/>
          <w:lang w:val="en-US"/>
        </w:rPr>
        <w:t xml:space="preserve"> reversion speed</w:t>
      </w:r>
      <w:r w:rsidR="00DB7692">
        <w:rPr>
          <w:rFonts w:eastAsiaTheme="minorEastAsia"/>
          <w:lang w:val="en-US"/>
        </w:rPr>
        <w:t>.</w:t>
      </w:r>
      <w:r w:rsidR="005B2C8A">
        <w:rPr>
          <w:rFonts w:eastAsiaTheme="minorEastAsia"/>
          <w:lang w:val="en-US"/>
        </w:rPr>
        <w:t xml:space="preserve"> Therefore, the strike prices tend to a mean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t,P</m:t>
            </m:r>
          </m:e>
        </m:d>
      </m:oMath>
      <w:r w:rsidR="005B2C8A">
        <w:rPr>
          <w:rFonts w:eastAsiaTheme="minorEastAsia"/>
          <w:lang w:val="en-US"/>
        </w:rPr>
        <w:t xml:space="preserve"> in the long run.</w:t>
      </w:r>
    </w:p>
    <w:p w:rsidR="00DF17D4" w:rsidRDefault="00DF17D4" w:rsidP="001A63F0">
      <w:pPr>
        <w:jc w:val="both"/>
        <w:rPr>
          <w:lang w:val="en-US"/>
        </w:rPr>
      </w:pPr>
      <w:r>
        <w:rPr>
          <w:lang w:val="en-US"/>
        </w:rPr>
        <w:t>In the same way, the natural logarithm of the spot prices are going to be modelled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DF4C4F" w:rsidTr="00C97F16">
        <w:tc>
          <w:tcPr>
            <w:tcW w:w="704" w:type="dxa"/>
            <w:vAlign w:val="center"/>
          </w:tcPr>
          <w:p w:rsidR="00DF4C4F" w:rsidRDefault="00DF4C4F" w:rsidP="00C97F16">
            <w:pPr>
              <w:jc w:val="center"/>
              <w:rPr>
                <w:lang w:val="en-US"/>
              </w:rPr>
            </w:pPr>
          </w:p>
        </w:tc>
        <w:tc>
          <w:tcPr>
            <w:tcW w:w="7371" w:type="dxa"/>
            <w:vAlign w:val="center"/>
          </w:tcPr>
          <w:p w:rsidR="00DF4C4F" w:rsidRPr="00DF17D4" w:rsidRDefault="00DF4C4F" w:rsidP="00DF4C4F">
            <w:pPr>
              <w:jc w:val="both"/>
              <w:rPr>
                <w:rFonts w:eastAsiaTheme="minorEastAsia"/>
                <w:lang w:val="en-US"/>
              </w:rPr>
            </w:pPr>
            <m:oMathPara>
              <m:oMath>
                <m:r>
                  <m:rPr>
                    <m:sty m:val="p"/>
                  </m:rPr>
                  <w:rPr>
                    <w:rFonts w:ascii="Cambria Math" w:hAnsi="Cambria Math"/>
                    <w:lang w:val="en-US"/>
                  </w:rPr>
                  <m:t>ln⁡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 g</m:t>
                </m:r>
                <m:d>
                  <m:dPr>
                    <m:ctrlPr>
                      <w:rPr>
                        <w:rFonts w:ascii="Cambria Math" w:hAnsi="Cambria Math"/>
                        <w:i/>
                        <w:lang w:val="en-US"/>
                      </w:rPr>
                    </m:ctrlPr>
                  </m:dPr>
                  <m:e>
                    <m:r>
                      <w:rPr>
                        <w:rFonts w:ascii="Cambria Math" w:hAnsi="Cambria Math"/>
                        <w:lang w:val="en-US"/>
                      </w:rPr>
                      <m:t>t,P</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m:oMathPara>
          </w:p>
          <w:p w:rsidR="00DF4C4F" w:rsidRDefault="00DF4C4F" w:rsidP="00C97F16">
            <w:pPr>
              <w:jc w:val="center"/>
              <w:rPr>
                <w:lang w:val="en-US"/>
              </w:rPr>
            </w:pPr>
          </w:p>
        </w:tc>
        <w:tc>
          <w:tcPr>
            <w:tcW w:w="753" w:type="dxa"/>
            <w:vAlign w:val="center"/>
          </w:tcPr>
          <w:p w:rsidR="00DF4C4F" w:rsidRDefault="00DF4C4F"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4</w:t>
            </w:r>
            <w:r>
              <w:rPr>
                <w:lang w:val="en-US"/>
              </w:rPr>
              <w:fldChar w:fldCharType="end"/>
            </w:r>
            <w:r>
              <w:rPr>
                <w:lang w:val="en-US"/>
              </w:rPr>
              <w:t>)</w:t>
            </w:r>
          </w:p>
        </w:tc>
      </w:tr>
    </w:tbl>
    <w:p w:rsidR="00DF17D4" w:rsidRDefault="00DF17D4" w:rsidP="00DF17D4">
      <w:pPr>
        <w:jc w:val="both"/>
        <w:rPr>
          <w:rFonts w:eastAsiaTheme="minorEastAsia"/>
          <w:lang w:val="en-US"/>
        </w:rPr>
      </w:pPr>
      <w:r>
        <w:rPr>
          <w:rFonts w:eastAsiaTheme="minorEastAsia"/>
          <w:lang w:val="en-US"/>
        </w:rPr>
        <w:t xml:space="preserve">Where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t,P</m:t>
            </m:r>
          </m:e>
        </m:d>
      </m:oMath>
      <w:r>
        <w:rPr>
          <w:rFonts w:eastAsiaTheme="minorEastAsia"/>
          <w:lang w:val="en-US"/>
        </w:rPr>
        <w:t xml:space="preserve"> is another deterministic function that depends on the time and a set of ENSO probabilities forecast</w:t>
      </w:r>
      <w:r w:rsidR="005B2C8A">
        <w:rPr>
          <w:rFonts w:eastAsiaTheme="minorEastAsia"/>
          <w:lang w:val="en-US"/>
        </w:rPr>
        <w:t xml:space="preserve"> and </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5B2C8A">
        <w:rPr>
          <w:rFonts w:eastAsiaTheme="minorEastAsia"/>
          <w:lang w:val="en-US"/>
        </w:rPr>
        <w:t xml:space="preserve"> follows a </w:t>
      </w:r>
      <w:r w:rsidR="00DF4C4F">
        <w:rPr>
          <w:rFonts w:eastAsiaTheme="minorEastAsia"/>
          <w:lang w:val="en-US"/>
        </w:rPr>
        <w:fldChar w:fldCharType="begin"/>
      </w:r>
      <w:r w:rsidR="00DF4C4F">
        <w:rPr>
          <w:rFonts w:eastAsiaTheme="minorEastAsia"/>
          <w:lang w:val="en-US"/>
        </w:rPr>
        <w:instrText xml:space="preserve"> REF _Ref7519735 \h </w:instrText>
      </w:r>
      <w:r w:rsidR="00DF4C4F">
        <w:rPr>
          <w:rFonts w:eastAsiaTheme="minorEastAsia"/>
          <w:lang w:val="en-US"/>
        </w:rPr>
      </w:r>
      <w:r w:rsidR="00DF4C4F">
        <w:rPr>
          <w:rFonts w:eastAsiaTheme="minorEastAsia"/>
          <w:lang w:val="en-US"/>
        </w:rPr>
        <w:fldChar w:fldCharType="separate"/>
      </w:r>
      <w:r w:rsidR="00DF4C4F" w:rsidRPr="003A7EC8">
        <w:rPr>
          <w:rFonts w:eastAsiaTheme="minorEastAsia"/>
          <w:lang w:val="en-US"/>
        </w:rPr>
        <w:t>Ornstein-Uhlenbeck</w:t>
      </w:r>
      <w:r w:rsidR="00DF4C4F">
        <w:rPr>
          <w:rFonts w:eastAsiaTheme="minorEastAsia"/>
          <w:lang w:val="en-US"/>
        </w:rPr>
        <w:fldChar w:fldCharType="end"/>
      </w:r>
      <w:r w:rsidR="00DF4C4F">
        <w:rPr>
          <w:rFonts w:eastAsiaTheme="minorEastAsia"/>
          <w:lang w:val="en-US"/>
        </w:rPr>
        <w:t xml:space="preserve"> </w:t>
      </w:r>
      <w:r w:rsidR="005B2C8A">
        <w:rPr>
          <w:rFonts w:eastAsiaTheme="minorEastAsia"/>
          <w:lang w:val="en-US"/>
        </w:rPr>
        <w:t>process of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DF4C4F" w:rsidTr="00C97F16">
        <w:tc>
          <w:tcPr>
            <w:tcW w:w="704" w:type="dxa"/>
            <w:vAlign w:val="center"/>
          </w:tcPr>
          <w:p w:rsidR="00DF4C4F" w:rsidRDefault="00DF4C4F" w:rsidP="00C97F16">
            <w:pPr>
              <w:jc w:val="center"/>
              <w:rPr>
                <w:lang w:val="en-US"/>
              </w:rPr>
            </w:pPr>
          </w:p>
        </w:tc>
        <w:tc>
          <w:tcPr>
            <w:tcW w:w="7371" w:type="dxa"/>
            <w:vAlign w:val="center"/>
          </w:tcPr>
          <w:p w:rsidR="00DF4C4F" w:rsidRPr="007F4226" w:rsidRDefault="00DF4C4F" w:rsidP="00DF4C4F">
            <w:pPr>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=-κ</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+σdZ</m:t>
                </m:r>
              </m:oMath>
            </m:oMathPara>
          </w:p>
          <w:p w:rsidR="00DF4C4F" w:rsidRDefault="00DF4C4F" w:rsidP="00C97F16">
            <w:pPr>
              <w:jc w:val="center"/>
              <w:rPr>
                <w:lang w:val="en-US"/>
              </w:rPr>
            </w:pPr>
          </w:p>
        </w:tc>
        <w:tc>
          <w:tcPr>
            <w:tcW w:w="753" w:type="dxa"/>
            <w:vAlign w:val="center"/>
          </w:tcPr>
          <w:p w:rsidR="00DF4C4F" w:rsidRDefault="00DF4C4F"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sidR="004875D7">
              <w:rPr>
                <w:noProof/>
                <w:lang w:val="en-US"/>
              </w:rPr>
              <w:t>5</w:t>
            </w:r>
            <w:r>
              <w:rPr>
                <w:lang w:val="en-US"/>
              </w:rPr>
              <w:fldChar w:fldCharType="end"/>
            </w:r>
            <w:r>
              <w:rPr>
                <w:lang w:val="en-US"/>
              </w:rPr>
              <w:t>)</w:t>
            </w:r>
          </w:p>
        </w:tc>
      </w:tr>
    </w:tbl>
    <w:p w:rsidR="00DF17D4" w:rsidRDefault="005B2C8A" w:rsidP="001A63F0">
      <w:pPr>
        <w:jc w:val="both"/>
        <w:rPr>
          <w:lang w:val="en-US"/>
        </w:rPr>
      </w:pPr>
      <w:r>
        <w:rPr>
          <w:rFonts w:eastAsiaTheme="minorEastAsia"/>
          <w:lang w:val="en-US"/>
        </w:rPr>
        <w:t xml:space="preserve">Similarly, </w:t>
      </w:r>
      <m:oMath>
        <m:r>
          <m:rPr>
            <m:sty m:val="p"/>
          </m:rPr>
          <w:rPr>
            <w:rFonts w:ascii="Cambria Math" w:hAnsi="Cambria Math"/>
            <w:lang w:val="en-US"/>
          </w:rPr>
          <m:t>ln⁡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rFonts w:eastAsiaTheme="minorEastAsia"/>
          <w:lang w:val="en-US"/>
        </w:rPr>
        <w:t xml:space="preserve"> is going to tend to a mean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t,P</m:t>
            </m:r>
          </m:e>
        </m:d>
      </m:oMath>
      <w:r>
        <w:rPr>
          <w:rFonts w:eastAsiaTheme="minorEastAsia"/>
          <w:lang w:val="en-US"/>
        </w:rPr>
        <w:t xml:space="preserve"> in the long run</w:t>
      </w:r>
      <w:r w:rsidR="00305FBB">
        <w:rPr>
          <w:rFonts w:eastAsiaTheme="minorEastAsia"/>
          <w:lang w:val="en-US"/>
        </w:rPr>
        <w:t xml:space="preserve">. In both cases,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sidR="00305FBB">
        <w:rPr>
          <w:rFonts w:eastAsiaTheme="minorEastAsia"/>
          <w:lang w:val="en-US"/>
        </w:rPr>
        <w:t xml:space="preserve"> and </w:t>
      </w:r>
      <m:oMath>
        <m:r>
          <m:rPr>
            <m:sty m:val="p"/>
          </m:rPr>
          <w:rPr>
            <w:rFonts w:ascii="Cambria Math" w:hAnsi="Cambria Math"/>
            <w:lang w:val="en-US"/>
          </w:rPr>
          <m:t>ln⁡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305FBB">
        <w:rPr>
          <w:rFonts w:eastAsiaTheme="minorEastAsia"/>
          <w:lang w:val="en-US"/>
        </w:rPr>
        <w:t xml:space="preserve"> are going to converge faster to the mean as </w:t>
      </w:r>
      <m:oMath>
        <m:r>
          <w:rPr>
            <w:rFonts w:ascii="Cambria Math" w:eastAsiaTheme="minorEastAsia" w:hAnsi="Cambria Math"/>
            <w:lang w:val="en-US"/>
          </w:rPr>
          <m:t>κ</m:t>
        </m:r>
      </m:oMath>
      <w:r w:rsidR="00305FBB">
        <w:rPr>
          <w:rFonts w:eastAsiaTheme="minorEastAsia"/>
          <w:lang w:val="en-US"/>
        </w:rPr>
        <w:t xml:space="preserve"> takes a higher value.</w:t>
      </w:r>
    </w:p>
    <w:p w:rsidR="0039757F" w:rsidRDefault="00507707" w:rsidP="00725E5C">
      <w:pPr>
        <w:pStyle w:val="Ttulo3"/>
        <w:numPr>
          <w:ilvl w:val="2"/>
          <w:numId w:val="6"/>
        </w:numPr>
        <w:rPr>
          <w:lang w:val="en-US"/>
        </w:rPr>
      </w:pPr>
      <w:r>
        <w:rPr>
          <w:lang w:val="en-US"/>
        </w:rPr>
        <w:t>Deterministic Component</w:t>
      </w:r>
    </w:p>
    <w:p w:rsidR="00725E5C" w:rsidRDefault="00725E5C" w:rsidP="002F14BB">
      <w:pPr>
        <w:jc w:val="both"/>
        <w:rPr>
          <w:rFonts w:eastAsiaTheme="minorEastAsia"/>
          <w:lang w:val="en-US"/>
        </w:rPr>
      </w:pPr>
      <w:r>
        <w:rPr>
          <w:lang w:val="en-US"/>
        </w:rPr>
        <w:t xml:space="preserve">It is necessary that the deterministic component of the price models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t,P</m:t>
            </m:r>
          </m:e>
        </m:d>
      </m:oMath>
      <w:r>
        <w:rPr>
          <w:rFonts w:eastAsiaTheme="minorEastAsia"/>
          <w:lang w:val="en-US"/>
        </w:rPr>
        <w:t xml:space="preserve"> and </w:t>
      </w:r>
      <m:oMath>
        <m:r>
          <w:rPr>
            <w:rFonts w:ascii="Cambria Math" w:hAnsi="Cambria Math"/>
            <w:lang w:val="en-US"/>
          </w:rPr>
          <m:t>g</m:t>
        </m:r>
        <m:d>
          <m:dPr>
            <m:ctrlPr>
              <w:rPr>
                <w:rFonts w:ascii="Cambria Math" w:hAnsi="Cambria Math"/>
                <w:i/>
                <w:lang w:val="en-US"/>
              </w:rPr>
            </m:ctrlPr>
          </m:dPr>
          <m:e>
            <m:r>
              <w:rPr>
                <w:rFonts w:ascii="Cambria Math" w:hAnsi="Cambria Math"/>
                <w:lang w:val="en-US"/>
              </w:rPr>
              <m:t>t,P</m:t>
            </m:r>
          </m:e>
        </m:d>
      </m:oMath>
      <w:r>
        <w:rPr>
          <w:rFonts w:eastAsiaTheme="minorEastAsia"/>
          <w:lang w:val="en-US"/>
        </w:rPr>
        <w:t xml:space="preserve"> capture the most relevant predictable behavior of the electricity prices. According to </w:t>
      </w:r>
      <w:r w:rsidR="002F14BB">
        <w:rPr>
          <w:rFonts w:eastAsiaTheme="minorEastAsia"/>
          <w:lang w:val="en-US"/>
        </w:rPr>
        <w:t>the analysis that was made in</w:t>
      </w:r>
      <w:r w:rsidR="009A6345">
        <w:rPr>
          <w:rFonts w:eastAsiaTheme="minorEastAsia"/>
          <w:lang w:val="en-US"/>
        </w:rPr>
        <w:t xml:space="preserve"> section</w:t>
      </w:r>
      <w:r w:rsidR="002F14BB">
        <w:rPr>
          <w:rFonts w:eastAsiaTheme="minorEastAsia"/>
          <w:lang w:val="en-US"/>
        </w:rPr>
        <w:t xml:space="preserve"> </w:t>
      </w:r>
      <w:r w:rsidR="00A15CCD" w:rsidRPr="006D0A26">
        <w:rPr>
          <w:rFonts w:eastAsiaTheme="minorEastAsia"/>
          <w:lang w:val="en-US"/>
        </w:rPr>
        <w:fldChar w:fldCharType="begin"/>
      </w:r>
      <w:r w:rsidR="00A15CCD" w:rsidRPr="006D0A26">
        <w:rPr>
          <w:rFonts w:eastAsiaTheme="minorEastAsia"/>
          <w:lang w:val="en-US"/>
        </w:rPr>
        <w:instrText xml:space="preserve"> REF _Ref7611136 \r \h  \* MERGEFORMAT </w:instrText>
      </w:r>
      <w:r w:rsidR="00A15CCD" w:rsidRPr="006D0A26">
        <w:rPr>
          <w:rFonts w:eastAsiaTheme="minorEastAsia"/>
          <w:lang w:val="en-US"/>
        </w:rPr>
      </w:r>
      <w:r w:rsidR="00A15CCD" w:rsidRPr="006D0A26">
        <w:rPr>
          <w:rFonts w:eastAsiaTheme="minorEastAsia"/>
          <w:lang w:val="en-US"/>
        </w:rPr>
        <w:fldChar w:fldCharType="separate"/>
      </w:r>
      <w:r w:rsidR="00A15CCD" w:rsidRPr="006D0A26">
        <w:rPr>
          <w:rFonts w:eastAsiaTheme="minorEastAsia"/>
          <w:lang w:val="en-US"/>
        </w:rPr>
        <w:t>4.2</w:t>
      </w:r>
      <w:r w:rsidR="00A15CCD" w:rsidRPr="006D0A26">
        <w:rPr>
          <w:rFonts w:eastAsiaTheme="minorEastAsia"/>
          <w:lang w:val="en-US"/>
        </w:rPr>
        <w:fldChar w:fldCharType="end"/>
      </w:r>
      <w:r w:rsidR="00586063">
        <w:rPr>
          <w:rFonts w:eastAsiaTheme="minorEastAsia"/>
          <w:lang w:val="en-US"/>
        </w:rPr>
        <w:t>, the inclusion of cyclical behaviors and an upwards trend to these deterministic components seems to be appropriate. Furthermore, according to what has been said about the effects</w:t>
      </w:r>
      <w:r w:rsidR="00AA3CB0">
        <w:rPr>
          <w:rFonts w:eastAsiaTheme="minorEastAsia"/>
          <w:lang w:val="en-US"/>
        </w:rPr>
        <w:t xml:space="preserve"> of the ENSO cycle in the supply of electricity in Colombia, taking</w:t>
      </w:r>
      <w:r w:rsidR="00C16C25">
        <w:rPr>
          <w:rFonts w:eastAsiaTheme="minorEastAsia"/>
          <w:lang w:val="en-US"/>
        </w:rPr>
        <w:t xml:space="preserve"> this climatic phenomenon</w:t>
      </w:r>
      <w:r w:rsidR="00AA3CB0">
        <w:rPr>
          <w:rFonts w:eastAsiaTheme="minorEastAsia"/>
          <w:lang w:val="en-US"/>
        </w:rPr>
        <w:t xml:space="preserve"> into account </w:t>
      </w:r>
      <w:r w:rsidR="00C16C25">
        <w:rPr>
          <w:rFonts w:eastAsiaTheme="minorEastAsia"/>
          <w:lang w:val="en-US"/>
        </w:rPr>
        <w:t>in the deterministic component of the prices’ modelling seems adequate as well.</w:t>
      </w:r>
      <w:r w:rsidR="0002541A">
        <w:rPr>
          <w:rFonts w:eastAsiaTheme="minorEastAsia"/>
          <w:lang w:val="en-US"/>
        </w:rPr>
        <w:t xml:space="preserve"> Therefore, </w:t>
      </w:r>
      <w:r w:rsidR="00BF559E">
        <w:rPr>
          <w:rFonts w:eastAsiaTheme="minorEastAsia"/>
          <w:lang w:val="en-US"/>
        </w:rPr>
        <w:t>different deter</w:t>
      </w:r>
      <w:r w:rsidR="00E37F09">
        <w:rPr>
          <w:rFonts w:eastAsiaTheme="minorEastAsia"/>
          <w:lang w:val="en-US"/>
        </w:rPr>
        <w:t>ministic functions are proposed.</w:t>
      </w:r>
    </w:p>
    <w:p w:rsidR="00C6316F" w:rsidRPr="00E37F09" w:rsidRDefault="00C6316F" w:rsidP="00E37F09">
      <w:pPr>
        <w:jc w:val="both"/>
        <w:rPr>
          <w:rFonts w:eastAsiaTheme="minorEastAsia"/>
          <w:lang w:val="en-US"/>
        </w:rPr>
      </w:pPr>
      <w:r w:rsidRPr="00E37F09">
        <w:rPr>
          <w:rFonts w:eastAsiaTheme="minorEastAsia"/>
          <w:lang w:val="en-US"/>
        </w:rPr>
        <w:t>First we have</w:t>
      </w:r>
      <w:r w:rsidR="004B0B12" w:rsidRPr="00E37F09">
        <w:rPr>
          <w:rFonts w:eastAsiaTheme="minorEastAsia"/>
          <w:lang w:val="en-US"/>
        </w:rPr>
        <w:t xml:space="preserve"> a function</w:t>
      </w:r>
      <w:r w:rsidRPr="00E37F09">
        <w:rPr>
          <w:rFonts w:eastAsiaTheme="minorEastAsia"/>
          <w:lang w:val="en-US"/>
        </w:rPr>
        <w:t xml:space="preserve"> that depend only on time: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DF4C4F" w:rsidTr="00C97F16">
        <w:tc>
          <w:tcPr>
            <w:tcW w:w="704" w:type="dxa"/>
            <w:vAlign w:val="center"/>
          </w:tcPr>
          <w:p w:rsidR="00DF4C4F" w:rsidRDefault="00DF4C4F" w:rsidP="00C97F16">
            <w:pPr>
              <w:jc w:val="center"/>
              <w:rPr>
                <w:lang w:val="en-US"/>
              </w:rPr>
            </w:pPr>
          </w:p>
        </w:tc>
        <w:tc>
          <w:tcPr>
            <w:tcW w:w="7371" w:type="dxa"/>
            <w:vAlign w:val="center"/>
          </w:tcPr>
          <w:p w:rsidR="00DF4C4F" w:rsidRDefault="009B0E42" w:rsidP="00C97F16">
            <w:pPr>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Ο</m:t>
                    </m:r>
                  </m:e>
                  <m:sub>
                    <m:r>
                      <m:rPr>
                        <m:sty m:val="p"/>
                      </m:rP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Ζ</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m:rPr>
                    <m:sty m:val="p"/>
                  </m:rPr>
                  <w:rPr>
                    <w:rFonts w:ascii="Cambria Math" w:eastAsiaTheme="minorEastAsia" w:hAnsi="Cambria Math"/>
                    <w:lang w:val="en-US"/>
                  </w:rPr>
                  <m:t>Ω</m:t>
                </m:r>
                <m:r>
                  <w:rPr>
                    <w:rFonts w:ascii="Cambria Math" w:eastAsiaTheme="minorEastAsia" w:hAnsi="Cambria Math"/>
                    <w:lang w:val="en-US"/>
                  </w:rPr>
                  <m:t>(t)</m:t>
                </m:r>
              </m:oMath>
            </m:oMathPara>
          </w:p>
        </w:tc>
        <w:tc>
          <w:tcPr>
            <w:tcW w:w="753" w:type="dxa"/>
            <w:vAlign w:val="center"/>
          </w:tcPr>
          <w:p w:rsidR="00DF4C4F" w:rsidRDefault="00DF4C4F"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6</w:t>
            </w:r>
            <w:r>
              <w:rPr>
                <w:lang w:val="en-US"/>
              </w:rPr>
              <w:fldChar w:fldCharType="end"/>
            </w:r>
            <w:r>
              <w:rPr>
                <w:lang w:val="en-US"/>
              </w:rPr>
              <w:t>)</w:t>
            </w:r>
          </w:p>
        </w:tc>
      </w:tr>
    </w:tbl>
    <w:p w:rsidR="00BF559E" w:rsidRDefault="008C52A8" w:rsidP="00C6316F">
      <w:pPr>
        <w:ind w:left="360"/>
        <w:jc w:val="both"/>
        <w:rPr>
          <w:rFonts w:eastAsiaTheme="minorEastAsia"/>
          <w:lang w:val="en-US"/>
        </w:rPr>
      </w:pPr>
      <w:r>
        <w:rPr>
          <w:rFonts w:eastAsiaTheme="minorEastAsia"/>
          <w:lang w:val="en-US"/>
        </w:rPr>
        <w:t>Where:</w:t>
      </w:r>
    </w:p>
    <w:p w:rsidR="008C52A8" w:rsidRPr="00C6316F" w:rsidRDefault="002C2866" w:rsidP="00C6316F">
      <w:pPr>
        <w:ind w:left="360"/>
        <w:jc w:val="both"/>
        <w:rPr>
          <w:rFonts w:eastAsiaTheme="minorEastAsia"/>
          <w:lang w:val="en-US"/>
        </w:rPr>
      </w:pPr>
      <m:oMathPara>
        <m:oMath>
          <m:r>
            <w:rPr>
              <w:rFonts w:ascii="Cambria Math" w:eastAsiaTheme="minorEastAsia" w:hAnsi="Cambria Math"/>
              <w:lang w:val="en-US"/>
            </w:rPr>
            <m:t xml:space="preserve">t:date of the price </m:t>
          </m:r>
        </m:oMath>
      </m:oMathPara>
    </w:p>
    <w:p w:rsidR="00C16C25" w:rsidRPr="00155380" w:rsidRDefault="009B0E42" w:rsidP="002F14BB">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if date t is a holliday or a weekend</m:t>
                  </m:r>
                </m:e>
                <m:e>
                  <m:r>
                    <w:rPr>
                      <w:rFonts w:ascii="Cambria Math" w:hAnsi="Cambria Math"/>
                      <w:lang w:val="en-US"/>
                    </w:rPr>
                    <m:t xml:space="preserve">    0      otherwise                                                       </m:t>
                  </m:r>
                </m:e>
              </m:eqArr>
            </m:e>
          </m:d>
        </m:oMath>
      </m:oMathPara>
    </w:p>
    <w:p w:rsidR="00155380" w:rsidRPr="009E0D51" w:rsidRDefault="009B0E42" w:rsidP="002F14BB">
      <w:pPr>
        <w:jc w:val="both"/>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Ο</m:t>
              </m:r>
            </m:e>
            <m:sub>
              <m:r>
                <m:rPr>
                  <m:sty m:val="p"/>
                </m:rP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ο</m:t>
              </m:r>
            </m:e>
            <m:sub>
              <m:r>
                <w:rPr>
                  <w:rFonts w:ascii="Cambria Math" w:hAnsi="Cambria Math"/>
                  <w:lang w:val="en-US"/>
                </w:rPr>
                <m:t>s</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24</m:t>
                      </m:r>
                    </m:den>
                  </m:f>
                  <m:r>
                    <w:rPr>
                      <w:rFonts w:ascii="Cambria Math" w:hAnsi="Cambria Math"/>
                      <w:lang w:val="en-US"/>
                    </w:rPr>
                    <m:t>t</m:t>
                  </m:r>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ο</m:t>
              </m:r>
            </m:e>
            <m:sub>
              <m:r>
                <w:rPr>
                  <w:rFonts w:ascii="Cambria Math" w:hAnsi="Cambria Math"/>
                  <w:lang w:val="en-US"/>
                </w:rPr>
                <m:t>c</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24</m:t>
                      </m:r>
                    </m:den>
                  </m:f>
                  <m:r>
                    <w:rPr>
                      <w:rFonts w:ascii="Cambria Math" w:hAnsi="Cambria Math"/>
                      <w:lang w:val="en-US"/>
                    </w:rPr>
                    <m:t>t</m:t>
                  </m:r>
                </m:e>
              </m:d>
            </m:e>
          </m:func>
        </m:oMath>
      </m:oMathPara>
    </w:p>
    <w:p w:rsidR="009E0D51" w:rsidRPr="009E0D51" w:rsidRDefault="009B0E42" w:rsidP="002F14BB">
      <w:pPr>
        <w:jc w:val="both"/>
        <w:rPr>
          <w:rFonts w:eastAsiaTheme="minorEastAsia"/>
          <w:lang w:val="en-US"/>
        </w:rPr>
      </w:pPr>
      <m:oMathPara>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s</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17,528</m:t>
                      </m:r>
                    </m:den>
                  </m:f>
                  <m:r>
                    <w:rPr>
                      <w:rFonts w:ascii="Cambria Math" w:hAnsi="Cambria Math"/>
                      <w:lang w:val="en-US"/>
                    </w:rPr>
                    <m:t>t</m:t>
                  </m:r>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c</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17,528</m:t>
                      </m:r>
                    </m:den>
                  </m:f>
                  <m:r>
                    <w:rPr>
                      <w:rFonts w:ascii="Cambria Math" w:hAnsi="Cambria Math"/>
                      <w:lang w:val="en-US"/>
                    </w:rPr>
                    <m:t>t</m:t>
                  </m:r>
                </m:e>
              </m:d>
            </m:e>
          </m:func>
        </m:oMath>
      </m:oMathPara>
    </w:p>
    <w:p w:rsidR="009E0D51" w:rsidRPr="009E0D51" w:rsidRDefault="009B0E42" w:rsidP="002F14BB">
      <w:pPr>
        <w:jc w:val="both"/>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Ζ</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s</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264</m:t>
                      </m:r>
                    </m:den>
                  </m:f>
                  <m:r>
                    <w:rPr>
                      <w:rFonts w:ascii="Cambria Math" w:hAnsi="Cambria Math"/>
                      <w:lang w:val="en-US"/>
                    </w:rPr>
                    <m:t>t</m:t>
                  </m:r>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ζ</m:t>
              </m:r>
            </m:e>
            <m:sub>
              <m:r>
                <w:rPr>
                  <w:rFonts w:ascii="Cambria Math" w:eastAsiaTheme="minorEastAsia" w:hAnsi="Cambria Math"/>
                  <w:lang w:val="en-US"/>
                </w:rPr>
                <m:t>c</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264</m:t>
                      </m:r>
                    </m:den>
                  </m:f>
                  <m:r>
                    <w:rPr>
                      <w:rFonts w:ascii="Cambria Math" w:hAnsi="Cambria Math"/>
                      <w:lang w:val="en-US"/>
                    </w:rPr>
                    <m:t>t</m:t>
                  </m:r>
                </m:e>
              </m:d>
            </m:e>
          </m:func>
        </m:oMath>
      </m:oMathPara>
    </w:p>
    <w:p w:rsidR="009E0D51" w:rsidRPr="004875D7" w:rsidRDefault="000514AD" w:rsidP="002F14BB">
      <w:pPr>
        <w:jc w:val="both"/>
        <w:rPr>
          <w:rFonts w:eastAsiaTheme="minorEastAsia"/>
          <w:lang w:val="en-US"/>
        </w:rPr>
      </w:pPr>
      <m:oMathPara>
        <m:oMath>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s</m:t>
              </m:r>
            </m:sub>
          </m:sSub>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8766</m:t>
                      </m:r>
                    </m:den>
                  </m:f>
                  <m:r>
                    <w:rPr>
                      <w:rFonts w:ascii="Cambria Math" w:hAnsi="Cambria Math"/>
                      <w:lang w:val="en-US"/>
                    </w:rPr>
                    <m:t>t</m:t>
                  </m:r>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c</m:t>
              </m:r>
            </m:sub>
          </m:sSub>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8766</m:t>
                      </m:r>
                    </m:den>
                  </m:f>
                  <m:r>
                    <w:rPr>
                      <w:rFonts w:ascii="Cambria Math" w:hAnsi="Cambria Math"/>
                      <w:lang w:val="en-US"/>
                    </w:rPr>
                    <m:t>t</m:t>
                  </m:r>
                </m:e>
              </m:d>
            </m:e>
          </m:func>
        </m:oMath>
      </m:oMathPara>
    </w:p>
    <w:p w:rsidR="00FF2D34" w:rsidRDefault="005E2D90" w:rsidP="00913DD7">
      <w:pPr>
        <w:jc w:val="both"/>
        <w:rPr>
          <w:rFonts w:eastAsiaTheme="minorEastAsia"/>
          <w:lang w:val="en-US"/>
        </w:rPr>
      </w:pPr>
      <w:r>
        <w:rPr>
          <w:lang w:val="en-US"/>
        </w:rPr>
        <w:t xml:space="preserve">Based on the analysis made in section </w:t>
      </w:r>
      <w:r w:rsidRPr="005E2D90">
        <w:rPr>
          <w:i/>
          <w:lang w:val="en-US"/>
        </w:rPr>
        <w:fldChar w:fldCharType="begin"/>
      </w:r>
      <w:r w:rsidRPr="005E2D90">
        <w:rPr>
          <w:i/>
          <w:lang w:val="en-US"/>
        </w:rPr>
        <w:instrText xml:space="preserve"> REF _Ref7611136 \r \h </w:instrText>
      </w:r>
      <w:r>
        <w:rPr>
          <w:i/>
          <w:lang w:val="en-US"/>
        </w:rPr>
        <w:instrText xml:space="preserve"> \* MERGEFORMAT </w:instrText>
      </w:r>
      <w:r w:rsidRPr="005E2D90">
        <w:rPr>
          <w:i/>
          <w:lang w:val="en-US"/>
        </w:rPr>
      </w:r>
      <w:r w:rsidRPr="005E2D90">
        <w:rPr>
          <w:i/>
          <w:lang w:val="en-US"/>
        </w:rPr>
        <w:fldChar w:fldCharType="separate"/>
      </w:r>
      <w:r w:rsidRPr="005E2D90">
        <w:rPr>
          <w:i/>
          <w:lang w:val="en-US"/>
        </w:rPr>
        <w:t>4.2</w:t>
      </w:r>
      <w:r w:rsidRPr="005E2D90">
        <w:rPr>
          <w:i/>
          <w:lang w:val="en-US"/>
        </w:rPr>
        <w:fldChar w:fldCharType="end"/>
      </w:r>
      <w:r w:rsidRPr="005E2D90">
        <w:rPr>
          <w:lang w:val="en-US"/>
        </w:rPr>
        <w:t>,</w:t>
      </w:r>
      <w:r>
        <w:rPr>
          <w:lang w:val="en-US"/>
        </w:rPr>
        <w:t xml:space="preserve"> a lineal trend is added with </w:t>
      </w:r>
      <w:r>
        <w:rPr>
          <w:rFonts w:eastAsiaTheme="minorEastAsia"/>
          <w:lang w:val="en-US"/>
        </w:rPr>
        <w:t xml:space="preserve">the term </w:t>
      </w:r>
      <m:oMath>
        <m:r>
          <w:rPr>
            <w:rFonts w:ascii="Cambria Math" w:hAnsi="Cambria Math"/>
            <w:lang w:val="en-US"/>
          </w:rPr>
          <m:t>t</m:t>
        </m:r>
      </m:oMath>
      <w:r>
        <w:rPr>
          <w:rFonts w:eastAsiaTheme="minorEastAsia"/>
          <w:lang w:val="en-US"/>
        </w:rPr>
        <w:t xml:space="preserve">, this would reflect the growth of electricity prices over the years </w:t>
      </w:r>
      <w:r w:rsidRPr="005E2D90">
        <w:rPr>
          <w:rFonts w:eastAsiaTheme="minorEastAsia"/>
          <w:color w:val="FF0000"/>
          <w:lang w:val="en-US"/>
        </w:rPr>
        <w:t>(Figure)</w:t>
      </w:r>
      <w:r>
        <w:rPr>
          <w:lang w:val="en-US"/>
        </w:rPr>
        <w:t>. Also,</w:t>
      </w:r>
      <w:r w:rsidR="0000758B">
        <w:rPr>
          <w:lang w:val="en-US"/>
        </w:rPr>
        <w:t xml:space="preserve"> having identified a difference in prices between a weekday and a holiday/weekend </w:t>
      </w:r>
      <w:r w:rsidR="0000758B" w:rsidRPr="0000758B">
        <w:rPr>
          <w:color w:val="FF0000"/>
          <w:lang w:val="en-US"/>
        </w:rPr>
        <w:t>(Figure)</w:t>
      </w:r>
      <w:r w:rsidR="0000758B">
        <w:rPr>
          <w:lang w:val="en-US"/>
        </w:rPr>
        <w:t>,</w:t>
      </w:r>
      <w:r>
        <w:rPr>
          <w:lang w:val="en-US"/>
        </w:rPr>
        <w:t xml:space="preserve"> a dummy variable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 xml:space="preserve"> models if a certain day </w:t>
      </w:r>
      <w:r>
        <w:rPr>
          <w:rFonts w:eastAsiaTheme="minorEastAsia"/>
          <w:lang w:val="en-US"/>
        </w:rPr>
        <w:lastRenderedPageBreak/>
        <w:t xml:space="preserve">corresponds to a holiday/weekend or not. </w:t>
      </w:r>
      <w:r w:rsidR="00FF2D34">
        <w:rPr>
          <w:rFonts w:eastAsiaTheme="minorEastAsia"/>
          <w:lang w:val="en-US"/>
        </w:rPr>
        <w:t>Finally, some Fourier series were added in order to capture the seasonal patterns that prices follow:</w:t>
      </w:r>
    </w:p>
    <w:p w:rsidR="00FF2D34" w:rsidRPr="00FF2D34" w:rsidRDefault="00FF2D34" w:rsidP="00FF2D34">
      <w:pPr>
        <w:pStyle w:val="Prrafodelista"/>
        <w:numPr>
          <w:ilvl w:val="0"/>
          <w:numId w:val="1"/>
        </w:numPr>
        <w:jc w:val="both"/>
        <w:rPr>
          <w:lang w:val="en-US"/>
        </w:rPr>
      </w:pPr>
      <w:r>
        <w:rPr>
          <w:rFonts w:eastAsiaTheme="minorEastAsia"/>
          <w:lang w:val="en-US"/>
        </w:rPr>
        <w:t>T</w:t>
      </w:r>
      <w:r w:rsidR="005E2D90" w:rsidRPr="00FF2D34">
        <w:rPr>
          <w:lang w:val="en-US"/>
        </w:rPr>
        <w:t xml:space="preserve">he term </w:t>
      </w:r>
      <m:oMath>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t</m:t>
            </m:r>
          </m:e>
        </m:d>
      </m:oMath>
      <w:r w:rsidR="005E2D90" w:rsidRPr="00FF2D34">
        <w:rPr>
          <w:rFonts w:eastAsiaTheme="minorEastAsia"/>
          <w:lang w:val="en-US"/>
        </w:rPr>
        <w:t xml:space="preserve"> represents an intra-year cycle that the prices follow </w:t>
      </w:r>
      <w:r w:rsidR="005E2D90" w:rsidRPr="00FF2D34">
        <w:rPr>
          <w:rFonts w:eastAsiaTheme="minorEastAsia"/>
          <w:color w:val="FF0000"/>
          <w:lang w:val="en-US"/>
        </w:rPr>
        <w:t>(Figure)</w:t>
      </w:r>
      <w:r w:rsidR="005E2D90" w:rsidRPr="00FF2D34">
        <w:rPr>
          <w:rFonts w:eastAsiaTheme="minorEastAsia"/>
          <w:lang w:val="en-US"/>
        </w:rPr>
        <w:t xml:space="preserve">. </w:t>
      </w:r>
    </w:p>
    <w:p w:rsidR="00FF2D34" w:rsidRPr="00FF2D34" w:rsidRDefault="009B0E42" w:rsidP="00FF2D34">
      <w:pPr>
        <w:pStyle w:val="Prrafodelista"/>
        <w:numPr>
          <w:ilvl w:val="0"/>
          <w:numId w:val="1"/>
        </w:numPr>
        <w:jc w:val="both"/>
        <w:rPr>
          <w:lang w:val="en-US"/>
        </w:rPr>
      </w:pPr>
      <m:oMath>
        <m:sSub>
          <m:sSubPr>
            <m:ctrlPr>
              <w:rPr>
                <w:rFonts w:ascii="Cambria Math" w:hAnsi="Cambria Math"/>
                <w:i/>
                <w:lang w:val="en-US"/>
              </w:rPr>
            </m:ctrlPr>
          </m:sSubPr>
          <m:e>
            <m:r>
              <m:rPr>
                <m:sty m:val="p"/>
              </m:rP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oMath>
      <w:r w:rsidR="00FF2D34">
        <w:rPr>
          <w:rFonts w:eastAsiaTheme="minorEastAsia"/>
          <w:lang w:val="en-US"/>
        </w:rPr>
        <w:t xml:space="preserve"> represents the seasonal behavior that has a </w:t>
      </w:r>
      <w:r w:rsidR="00FF2D34" w:rsidRPr="00FF2D34">
        <w:rPr>
          <w:rFonts w:eastAsiaTheme="minorEastAsia"/>
          <w:color w:val="FF0000"/>
          <w:lang w:val="en-US"/>
        </w:rPr>
        <w:t>X month period</w:t>
      </w:r>
    </w:p>
    <w:p w:rsidR="00FF2D34" w:rsidRPr="00FF2D34" w:rsidRDefault="00FF2D34" w:rsidP="00FF2D34">
      <w:pPr>
        <w:pStyle w:val="Prrafodelista"/>
        <w:numPr>
          <w:ilvl w:val="0"/>
          <w:numId w:val="1"/>
        </w:numPr>
        <w:jc w:val="both"/>
        <w:rPr>
          <w:lang w:val="en-US"/>
        </w:rPr>
      </w:pPr>
      <w:r>
        <w:rPr>
          <w:rFonts w:eastAsiaTheme="minorEastAsia"/>
          <w:lang w:val="en-US"/>
        </w:rPr>
        <w:t>T</w:t>
      </w:r>
      <w:r w:rsidR="005E2D90" w:rsidRPr="00FF2D34">
        <w:rPr>
          <w:rFonts w:eastAsiaTheme="minorEastAsia"/>
          <w:lang w:val="en-US"/>
        </w:rPr>
        <w:t xml:space="preserve">he term </w:t>
      </w:r>
      <m:oMath>
        <m:sSub>
          <m:sSubPr>
            <m:ctrlPr>
              <w:rPr>
                <w:rFonts w:ascii="Cambria Math" w:hAnsi="Cambria Math"/>
                <w:lang w:val="en-US"/>
              </w:rPr>
            </m:ctrlPr>
          </m:sSubPr>
          <m:e>
            <m:r>
              <m:rPr>
                <m:sty m:val="p"/>
              </m:rPr>
              <w:rPr>
                <w:rFonts w:ascii="Cambria Math" w:hAnsi="Cambria Math"/>
                <w:lang w:val="en-US"/>
              </w:rPr>
              <m:t>Ο</m:t>
            </m:r>
          </m:e>
          <m:sub>
            <m:r>
              <m:rPr>
                <m:sty m:val="p"/>
              </m:rP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oMath>
      <w:r w:rsidR="005E2D90" w:rsidRPr="00FF2D34">
        <w:rPr>
          <w:rFonts w:eastAsiaTheme="minorEastAsia"/>
          <w:lang w:val="en-US"/>
        </w:rPr>
        <w:t xml:space="preserve"> captures the intra-day seasonal behavior that electricity prices follow </w:t>
      </w:r>
      <w:r w:rsidR="005E2D90" w:rsidRPr="00FF2D34">
        <w:rPr>
          <w:rFonts w:eastAsiaTheme="minorEastAsia"/>
          <w:color w:val="FF0000"/>
          <w:lang w:val="en-US"/>
        </w:rPr>
        <w:t>(Figure)</w:t>
      </w:r>
      <w:r w:rsidR="005E2D90" w:rsidRPr="00FF2D34">
        <w:rPr>
          <w:rFonts w:eastAsiaTheme="minorEastAsia"/>
          <w:lang w:val="en-US"/>
        </w:rPr>
        <w:t xml:space="preserve">. </w:t>
      </w:r>
    </w:p>
    <w:p w:rsidR="00913DD7" w:rsidRPr="00FF2D34" w:rsidRDefault="00FF2D34" w:rsidP="00FF2D34">
      <w:pPr>
        <w:pStyle w:val="Prrafodelista"/>
        <w:numPr>
          <w:ilvl w:val="0"/>
          <w:numId w:val="1"/>
        </w:numPr>
        <w:jc w:val="both"/>
        <w:rPr>
          <w:lang w:val="en-US"/>
        </w:rPr>
      </w:pPr>
      <w:r>
        <w:rPr>
          <w:rFonts w:eastAsiaTheme="minorEastAsia"/>
          <w:lang w:val="en-US"/>
        </w:rPr>
        <w:t xml:space="preserve">The term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Ζ</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lang w:val="en-US"/>
        </w:rPr>
        <w:t xml:space="preserve"> captures a seasonal behavior that has an 11 day period. </w:t>
      </w:r>
    </w:p>
    <w:p w:rsidR="00FF2D34" w:rsidRPr="00FF2D34" w:rsidRDefault="00FF2D34" w:rsidP="00FF2D34">
      <w:pPr>
        <w:pStyle w:val="Prrafodelista"/>
        <w:numPr>
          <w:ilvl w:val="0"/>
          <w:numId w:val="1"/>
        </w:numPr>
        <w:jc w:val="both"/>
        <w:rPr>
          <w:lang w:val="en-US"/>
        </w:rPr>
      </w:pPr>
      <w:r>
        <w:rPr>
          <w:lang w:val="en-US"/>
        </w:rPr>
        <w:t xml:space="preserve">The term </w:t>
      </w:r>
      <m:oMath>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t</m:t>
            </m:r>
          </m:e>
        </m:d>
      </m:oMath>
      <w:r>
        <w:rPr>
          <w:rFonts w:eastAsiaTheme="minorEastAsia"/>
          <w:lang w:val="en-US"/>
        </w:rPr>
        <w:t xml:space="preserve"> </w:t>
      </w:r>
    </w:p>
    <w:p w:rsidR="00FF2D34" w:rsidRPr="00FF2D34" w:rsidRDefault="00FF2D34" w:rsidP="00FF2D34">
      <w:pPr>
        <w:jc w:val="both"/>
        <w:rPr>
          <w:lang w:val="en-US"/>
        </w:rPr>
      </w:pPr>
      <w:r>
        <w:rPr>
          <w:lang w:val="en-US"/>
        </w:rPr>
        <w:t>It is worth noting that these four terms are Fourier series that have their respective frequency and that have an order of 1.</w:t>
      </w:r>
    </w:p>
    <w:p w:rsidR="004875D7" w:rsidRPr="00913DD7" w:rsidRDefault="004B0B12" w:rsidP="00913DD7">
      <w:pPr>
        <w:jc w:val="both"/>
        <w:rPr>
          <w:lang w:val="en-US"/>
        </w:rPr>
      </w:pPr>
      <w:r w:rsidRPr="00913DD7">
        <w:rPr>
          <w:lang w:val="en-US"/>
        </w:rPr>
        <w:t>Then, there is a function that depends on time and on the set of ENSO probabilities</w:t>
      </w:r>
      <w:r w:rsidR="0018264D" w:rsidRPr="00913DD7">
        <w:rPr>
          <w:lang w:val="en-US"/>
        </w:rPr>
        <w:t>. However, as there are nine different sets</w:t>
      </w:r>
      <w:r w:rsidR="00156E38" w:rsidRPr="00913DD7">
        <w:rPr>
          <w:lang w:val="en-US"/>
        </w:rPr>
        <w:t xml:space="preserve"> of ENSO probabilities forecast</w:t>
      </w:r>
      <w:r w:rsidR="00AB63C5" w:rsidRPr="00913DD7">
        <w:rPr>
          <w:lang w:val="en-US"/>
        </w:rPr>
        <w:t xml:space="preserve"> for each month </w:t>
      </w:r>
      <w:r w:rsidR="00AB63C5" w:rsidRPr="00913DD7">
        <w:rPr>
          <w:color w:val="FF0000"/>
          <w:lang w:val="en-US"/>
        </w:rPr>
        <w:t>(except for)</w:t>
      </w:r>
      <w:r w:rsidR="00156E38" w:rsidRPr="00913DD7">
        <w:rPr>
          <w:lang w:val="en-US"/>
        </w:rPr>
        <w:t>,</w:t>
      </w:r>
      <w:r w:rsidR="00310EFD" w:rsidRPr="00913DD7">
        <w:rPr>
          <w:lang w:val="en-US"/>
        </w:rPr>
        <w:t xml:space="preserve"> nine price </w:t>
      </w:r>
      <w:r w:rsidR="00913DD7">
        <w:rPr>
          <w:lang w:val="en-US"/>
        </w:rPr>
        <w:t>forecasting models are proposed.</w:t>
      </w:r>
      <w:r w:rsidR="00F722C2">
        <w:rPr>
          <w:lang w:val="en-US"/>
        </w:rPr>
        <w:t xml:space="preserve"> As the time-dependent part of the model equation is the same as the previous model, a reference to the function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oMath>
      <w:r w:rsidR="00F722C2">
        <w:rPr>
          <w:rFonts w:eastAsiaTheme="minorEastAsia"/>
          <w:lang w:val="en-US"/>
        </w:rPr>
        <w:t xml:space="preserve"> is going to be used for expression simplicity.</w:t>
      </w:r>
      <w:r w:rsidR="00F722C2">
        <w:rPr>
          <w:lang w:val="en-US"/>
        </w:rPr>
        <w:t xml:space="preserve"> Furthermore, as these</w:t>
      </w:r>
      <w:r w:rsidR="00913DD7">
        <w:rPr>
          <w:lang w:val="en-US"/>
        </w:rPr>
        <w:t xml:space="preserve"> nine models</w:t>
      </w:r>
      <w:r w:rsidR="00310EFD" w:rsidRPr="00913DD7">
        <w:rPr>
          <w:lang w:val="en-US"/>
        </w:rPr>
        <w:t xml:space="preserve"> are basically the same, just that the coefficients are estimated using different sets of probabilities</w:t>
      </w:r>
      <w:r w:rsidR="00F722C2">
        <w:rPr>
          <w:lang w:val="en-US"/>
        </w:rPr>
        <w:t xml:space="preserve">, these models are expressed in equation </w:t>
      </w:r>
      <w:r w:rsidR="00F722C2" w:rsidRPr="005E2D90">
        <w:rPr>
          <w:color w:val="FF0000"/>
          <w:lang w:val="en-US"/>
        </w:rPr>
        <w:t>(7)</w:t>
      </w:r>
      <w:r w:rsidR="00913DD7">
        <w:rPr>
          <w:lang w:val="en-US"/>
        </w:rPr>
        <w:t>.</w:t>
      </w:r>
      <w:r w:rsidR="00F722C2">
        <w:rPr>
          <w:lang w:val="en-US"/>
        </w:rPr>
        <w:t xml:space="preserve"> However, it is vital to keep in mind that nine different models are expressed there.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987"/>
        <w:gridCol w:w="724"/>
      </w:tblGrid>
      <w:tr w:rsidR="004875D7" w:rsidTr="00E32E05">
        <w:tc>
          <w:tcPr>
            <w:tcW w:w="2127" w:type="dxa"/>
            <w:vAlign w:val="center"/>
          </w:tcPr>
          <w:p w:rsidR="004875D7" w:rsidRDefault="00310EFD" w:rsidP="00310EFD">
            <w:pPr>
              <w:jc w:val="center"/>
              <w:rPr>
                <w:lang w:val="en-US"/>
              </w:rPr>
            </w:pPr>
            <m:oMathPara>
              <m:oMath>
                <m:r>
                  <w:rPr>
                    <w:rFonts w:ascii="Cambria Math" w:hAnsi="Cambria Math"/>
                    <w:lang w:val="en-US"/>
                  </w:rPr>
                  <m:t>∀m∈{2,3,4,…,10}</m:t>
                </m:r>
              </m:oMath>
            </m:oMathPara>
          </w:p>
        </w:tc>
        <w:tc>
          <w:tcPr>
            <w:tcW w:w="5987" w:type="dxa"/>
            <w:vAlign w:val="center"/>
          </w:tcPr>
          <w:p w:rsidR="004875D7" w:rsidRDefault="009B0E42" w:rsidP="00A37894">
            <w:pPr>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No,m</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No,m</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Na,m</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Na,m</m:t>
                    </m:r>
                  </m:sub>
                </m:sSub>
                <m:d>
                  <m:dPr>
                    <m:ctrlPr>
                      <w:rPr>
                        <w:rFonts w:ascii="Cambria Math" w:eastAsiaTheme="minorEastAsia" w:hAnsi="Cambria Math"/>
                        <w:i/>
                        <w:lang w:val="en-US"/>
                      </w:rPr>
                    </m:ctrlPr>
                  </m:dPr>
                  <m:e>
                    <m:r>
                      <w:rPr>
                        <w:rFonts w:ascii="Cambria Math" w:eastAsiaTheme="minorEastAsia" w:hAnsi="Cambria Math"/>
                        <w:lang w:val="en-US"/>
                      </w:rPr>
                      <m:t>t</m:t>
                    </m:r>
                  </m:e>
                </m:d>
              </m:oMath>
            </m:oMathPara>
          </w:p>
        </w:tc>
        <w:tc>
          <w:tcPr>
            <w:tcW w:w="724" w:type="dxa"/>
            <w:vAlign w:val="center"/>
          </w:tcPr>
          <w:p w:rsidR="004875D7" w:rsidRDefault="004875D7"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7</w:t>
            </w:r>
            <w:r>
              <w:rPr>
                <w:lang w:val="en-US"/>
              </w:rPr>
              <w:fldChar w:fldCharType="end"/>
            </w:r>
            <w:r>
              <w:rPr>
                <w:lang w:val="en-US"/>
              </w:rPr>
              <w:t>)</w:t>
            </w:r>
          </w:p>
        </w:tc>
      </w:tr>
      <w:tr w:rsidR="00ED113E" w:rsidTr="00E32E05">
        <w:tc>
          <w:tcPr>
            <w:tcW w:w="2127" w:type="dxa"/>
            <w:vAlign w:val="center"/>
          </w:tcPr>
          <w:p w:rsidR="00ED113E" w:rsidRDefault="00ED113E" w:rsidP="00310EFD">
            <w:pPr>
              <w:jc w:val="center"/>
              <w:rPr>
                <w:rFonts w:ascii="Calibri" w:eastAsia="Calibri" w:hAnsi="Calibri" w:cs="Times New Roman"/>
                <w:lang w:val="en-US"/>
              </w:rPr>
            </w:pPr>
          </w:p>
        </w:tc>
        <w:tc>
          <w:tcPr>
            <w:tcW w:w="5987" w:type="dxa"/>
            <w:vAlign w:val="center"/>
          </w:tcPr>
          <w:p w:rsidR="00ED113E" w:rsidRDefault="00ED113E" w:rsidP="00A37894">
            <w:pPr>
              <w:jc w:val="center"/>
              <w:rPr>
                <w:rFonts w:ascii="Calibri" w:eastAsia="Calibri" w:hAnsi="Calibri" w:cs="Times New Roman"/>
                <w:lang w:val="en-US"/>
              </w:rPr>
            </w:pPr>
          </w:p>
        </w:tc>
        <w:tc>
          <w:tcPr>
            <w:tcW w:w="724" w:type="dxa"/>
            <w:vAlign w:val="center"/>
          </w:tcPr>
          <w:p w:rsidR="00ED113E" w:rsidRDefault="00ED113E" w:rsidP="00DF4C4F">
            <w:pPr>
              <w:jc w:val="center"/>
              <w:rPr>
                <w:lang w:val="en-US"/>
              </w:rPr>
            </w:pPr>
          </w:p>
        </w:tc>
      </w:tr>
    </w:tbl>
    <w:p w:rsidR="00ED113E" w:rsidRPr="00ED113E" w:rsidRDefault="009B0E42" w:rsidP="00ED113E">
      <w:pPr>
        <w:jc w:val="both"/>
        <w:rPr>
          <w:b/>
          <w:sz w:val="18"/>
          <w:lang w:val="en-US"/>
        </w:rPr>
      </w:pPr>
      <m:oMathPara>
        <m:oMath>
          <m:sSub>
            <m:sSubPr>
              <m:ctrlPr>
                <w:rPr>
                  <w:rFonts w:ascii="Cambria Math" w:hAnsi="Cambria Math"/>
                  <w:i/>
                  <w:sz w:val="18"/>
                  <w:lang w:val="en-US"/>
                </w:rPr>
              </m:ctrlPr>
            </m:sSubPr>
            <m:e>
              <m:r>
                <w:rPr>
                  <w:rFonts w:ascii="Cambria Math" w:hAnsi="Cambria Math"/>
                  <w:sz w:val="18"/>
                  <w:lang w:val="en-US"/>
                </w:rPr>
                <m:t>P</m:t>
              </m:r>
            </m:e>
            <m:sub>
              <m:r>
                <w:rPr>
                  <w:rFonts w:ascii="Cambria Math" w:hAnsi="Cambria Math"/>
                  <w:sz w:val="18"/>
                  <w:lang w:val="en-US"/>
                </w:rPr>
                <m:t>No,m</m:t>
              </m:r>
            </m:sub>
          </m:sSub>
          <m:d>
            <m:dPr>
              <m:ctrlPr>
                <w:rPr>
                  <w:rFonts w:ascii="Cambria Math" w:hAnsi="Cambria Math"/>
                  <w:i/>
                  <w:sz w:val="18"/>
                  <w:lang w:val="en-US"/>
                </w:rPr>
              </m:ctrlPr>
            </m:dPr>
            <m:e>
              <m:r>
                <w:rPr>
                  <w:rFonts w:ascii="Cambria Math" w:hAnsi="Cambria Math"/>
                  <w:sz w:val="18"/>
                  <w:lang w:val="en-US"/>
                </w:rPr>
                <m:t>t</m:t>
              </m:r>
            </m:e>
          </m:d>
          <m:r>
            <w:rPr>
              <w:rFonts w:ascii="Cambria Math" w:hAnsi="Cambria Math"/>
              <w:sz w:val="18"/>
              <w:lang w:val="en-US"/>
            </w:rPr>
            <m:t xml:space="preserve">:Forecast, done </m:t>
          </m:r>
          <m:d>
            <m:dPr>
              <m:ctrlPr>
                <w:rPr>
                  <w:rFonts w:ascii="Cambria Math" w:hAnsi="Cambria Math"/>
                  <w:i/>
                  <w:sz w:val="18"/>
                  <w:lang w:val="en-US"/>
                </w:rPr>
              </m:ctrlPr>
            </m:dPr>
            <m:e>
              <m:r>
                <w:rPr>
                  <w:rFonts w:ascii="Cambria Math" w:hAnsi="Cambria Math"/>
                  <w:sz w:val="18"/>
                  <w:lang w:val="en-US"/>
                </w:rPr>
                <m:t>m-1</m:t>
              </m:r>
            </m:e>
          </m:d>
          <m:r>
            <w:rPr>
              <w:rFonts w:ascii="Cambria Math" w:hAnsi="Cambria Math"/>
              <w:sz w:val="18"/>
              <w:lang w:val="en-US"/>
            </w:rPr>
            <m:t>months before t, for the probability of there being a El Niño event in time t</m:t>
          </m:r>
        </m:oMath>
      </m:oMathPara>
    </w:p>
    <w:p w:rsidR="004875D7" w:rsidRPr="00ED113E" w:rsidRDefault="009B0E42" w:rsidP="00F75CA7">
      <w:pPr>
        <w:jc w:val="both"/>
        <w:rPr>
          <w:b/>
          <w:sz w:val="18"/>
          <w:lang w:val="en-US"/>
        </w:rPr>
      </w:pPr>
      <m:oMathPara>
        <m:oMath>
          <m:sSub>
            <m:sSubPr>
              <m:ctrlPr>
                <w:rPr>
                  <w:rFonts w:ascii="Cambria Math" w:hAnsi="Cambria Math"/>
                  <w:i/>
                  <w:sz w:val="18"/>
                  <w:lang w:val="en-US"/>
                </w:rPr>
              </m:ctrlPr>
            </m:sSubPr>
            <m:e>
              <m:r>
                <w:rPr>
                  <w:rFonts w:ascii="Cambria Math" w:hAnsi="Cambria Math"/>
                  <w:sz w:val="18"/>
                  <w:lang w:val="en-US"/>
                </w:rPr>
                <m:t>P</m:t>
              </m:r>
            </m:e>
            <m:sub>
              <m:r>
                <w:rPr>
                  <w:rFonts w:ascii="Cambria Math" w:hAnsi="Cambria Math"/>
                  <w:sz w:val="18"/>
                  <w:lang w:val="en-US"/>
                </w:rPr>
                <m:t>Na,m</m:t>
              </m:r>
            </m:sub>
          </m:sSub>
          <m:d>
            <m:dPr>
              <m:ctrlPr>
                <w:rPr>
                  <w:rFonts w:ascii="Cambria Math" w:hAnsi="Cambria Math"/>
                  <w:i/>
                  <w:sz w:val="18"/>
                  <w:lang w:val="en-US"/>
                </w:rPr>
              </m:ctrlPr>
            </m:dPr>
            <m:e>
              <m:r>
                <w:rPr>
                  <w:rFonts w:ascii="Cambria Math" w:hAnsi="Cambria Math"/>
                  <w:sz w:val="18"/>
                  <w:lang w:val="en-US"/>
                </w:rPr>
                <m:t>t</m:t>
              </m:r>
            </m:e>
          </m:d>
          <m:r>
            <w:rPr>
              <w:rFonts w:ascii="Cambria Math" w:hAnsi="Cambria Math"/>
              <w:sz w:val="18"/>
              <w:lang w:val="en-US"/>
            </w:rPr>
            <m:t xml:space="preserve">:Forecast, done </m:t>
          </m:r>
          <m:d>
            <m:dPr>
              <m:ctrlPr>
                <w:rPr>
                  <w:rFonts w:ascii="Cambria Math" w:hAnsi="Cambria Math"/>
                  <w:i/>
                  <w:sz w:val="18"/>
                  <w:lang w:val="en-US"/>
                </w:rPr>
              </m:ctrlPr>
            </m:dPr>
            <m:e>
              <m:r>
                <w:rPr>
                  <w:rFonts w:ascii="Cambria Math" w:hAnsi="Cambria Math"/>
                  <w:sz w:val="18"/>
                  <w:lang w:val="en-US"/>
                </w:rPr>
                <m:t>m-1</m:t>
              </m:r>
            </m:e>
          </m:d>
          <m:r>
            <w:rPr>
              <w:rFonts w:ascii="Cambria Math" w:hAnsi="Cambria Math"/>
              <w:sz w:val="18"/>
              <w:lang w:val="en-US"/>
            </w:rPr>
            <m:t>months before t, for the probability of there being a La Niña event in time t</m:t>
          </m:r>
        </m:oMath>
      </m:oMathPara>
    </w:p>
    <w:p w:rsidR="003B6F3A" w:rsidRDefault="00ED113E" w:rsidP="00F75CA7">
      <w:pPr>
        <w:jc w:val="both"/>
        <w:rPr>
          <w:rFonts w:eastAsiaTheme="minorEastAsia"/>
          <w:lang w:val="en-US"/>
        </w:rPr>
      </w:pPr>
      <w:r w:rsidRPr="00ED113E">
        <w:rPr>
          <w:lang w:val="en-US"/>
        </w:rPr>
        <w:t>It is worth</w:t>
      </w:r>
      <w:r>
        <w:rPr>
          <w:lang w:val="en-US"/>
        </w:rPr>
        <w:t xml:space="preserve"> noting that </w:t>
      </w:r>
      <w:r w:rsidR="003B6F3A">
        <w:rPr>
          <w:lang w:val="en-US"/>
        </w:rPr>
        <w:t>for these probabilities</w:t>
      </w:r>
      <w:r w:rsidR="000E7AA1">
        <w:rPr>
          <w:lang w:val="en-US"/>
        </w:rPr>
        <w:t xml:space="preserve"> every date was reduced to its month and year (e.g., the date “5:00:00 of January 23</w:t>
      </w:r>
      <w:r w:rsidR="000E7AA1">
        <w:rPr>
          <w:vertAlign w:val="superscript"/>
          <w:lang w:val="en-US"/>
        </w:rPr>
        <w:t>rd</w:t>
      </w:r>
      <w:r w:rsidR="00AD4C1B">
        <w:rPr>
          <w:lang w:val="en-US"/>
        </w:rPr>
        <w:t>, 2012</w:t>
      </w:r>
      <w:r w:rsidR="000E7AA1">
        <w:rPr>
          <w:lang w:val="en-US"/>
        </w:rPr>
        <w:t>” would be taken just as “January,2012”). Therefore,</w:t>
      </w:r>
      <w:r w:rsidR="000E7AA1" w:rsidRPr="000E7AA1">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No,m</m:t>
            </m:r>
          </m:sub>
        </m:sSub>
        <m:r>
          <w:rPr>
            <w:rFonts w:ascii="Cambria Math" w:hAnsi="Cambria Math"/>
            <w:lang w:val="en-US"/>
          </w:rPr>
          <m:t>(t)</m:t>
        </m:r>
      </m:oMath>
      <w:r w:rsidR="000E7AA1" w:rsidRPr="000E7AA1">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Na,m</m:t>
            </m:r>
          </m:sub>
        </m:sSub>
        <m:r>
          <w:rPr>
            <w:rFonts w:ascii="Cambria Math" w:hAnsi="Cambria Math"/>
            <w:lang w:val="en-US"/>
          </w:rPr>
          <m:t>(t)</m:t>
        </m:r>
      </m:oMath>
      <w:r w:rsidR="000E7AA1">
        <w:rPr>
          <w:rFonts w:eastAsiaTheme="minorEastAsia"/>
          <w:lang w:val="en-US"/>
        </w:rPr>
        <w:t xml:space="preserve"> would take the same value for every date </w:t>
      </w:r>
      <m:oMath>
        <m:r>
          <w:rPr>
            <w:rFonts w:ascii="Cambria Math" w:hAnsi="Cambria Math"/>
            <w:lang w:val="en-US"/>
          </w:rPr>
          <m:t>t</m:t>
        </m:r>
      </m:oMath>
      <w:r w:rsidR="000E7AA1">
        <w:rPr>
          <w:rFonts w:eastAsiaTheme="minorEastAsia"/>
          <w:lang w:val="en-US"/>
        </w:rPr>
        <w:t xml:space="preserve"> that would belong to the same month and year. Likewise, a forecast published in November</w:t>
      </w:r>
      <w:r w:rsidR="00C240E9">
        <w:rPr>
          <w:rFonts w:eastAsiaTheme="minorEastAsia"/>
          <w:lang w:val="en-US"/>
        </w:rPr>
        <w:t>, 2012</w:t>
      </w:r>
      <w:r w:rsidR="000E7AA1">
        <w:rPr>
          <w:rFonts w:eastAsiaTheme="minorEastAsia"/>
          <w:lang w:val="en-US"/>
        </w:rPr>
        <w:t xml:space="preserve"> </w:t>
      </w:r>
      <w:r w:rsidR="000E7AA1" w:rsidRPr="000E7AA1">
        <w:rPr>
          <w:rFonts w:eastAsiaTheme="minorEastAsia"/>
          <w:color w:val="FF0000"/>
          <w:lang w:val="en-US"/>
        </w:rPr>
        <w:t>(no matter the calendar day)</w:t>
      </w:r>
      <w:r w:rsidR="000E7AA1">
        <w:rPr>
          <w:rFonts w:eastAsiaTheme="minorEastAsia"/>
          <w:color w:val="FF0000"/>
          <w:lang w:val="en-US"/>
        </w:rPr>
        <w:t xml:space="preserve"> </w:t>
      </w:r>
      <w:r w:rsidR="000E7AA1">
        <w:rPr>
          <w:rFonts w:eastAsiaTheme="minorEastAsia"/>
          <w:lang w:val="en-US"/>
        </w:rPr>
        <w:t xml:space="preserve">is taken in this work as </w:t>
      </w:r>
      <w:r w:rsidR="00C240E9">
        <w:rPr>
          <w:rFonts w:eastAsiaTheme="minorEastAsia"/>
          <w:lang w:val="en-US"/>
        </w:rPr>
        <w:t>a forecast done one month before for the probabilities</w:t>
      </w:r>
      <w:r w:rsidR="001F60B7">
        <w:rPr>
          <w:rFonts w:eastAsiaTheme="minorEastAsia"/>
          <w:lang w:val="en-US"/>
        </w:rPr>
        <w:t xml:space="preserve"> of El</w:t>
      </w:r>
      <w:r w:rsidR="00C240E9">
        <w:rPr>
          <w:rFonts w:eastAsiaTheme="minorEastAsia"/>
          <w:lang w:val="en-US"/>
        </w:rPr>
        <w:t xml:space="preserve"> Niño and La Niña for all the dates that belong to </w:t>
      </w:r>
      <w:r w:rsidR="001F60B7">
        <w:rPr>
          <w:rFonts w:eastAsiaTheme="minorEastAsia"/>
          <w:lang w:val="en-US"/>
        </w:rPr>
        <w:t>December, 2012. The</w:t>
      </w:r>
      <w:r w:rsidR="00C240E9">
        <w:rPr>
          <w:rFonts w:eastAsiaTheme="minorEastAsia"/>
          <w:lang w:val="en-US"/>
        </w:rPr>
        <w:t>s</w:t>
      </w:r>
      <w:r w:rsidR="001F60B7">
        <w:rPr>
          <w:rFonts w:eastAsiaTheme="minorEastAsia"/>
          <w:lang w:val="en-US"/>
        </w:rPr>
        <w:t xml:space="preserve">e probabilities are added to the model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oMath>
      <w:r w:rsidR="001F60B7">
        <w:rPr>
          <w:rFonts w:eastAsiaTheme="minorEastAsia"/>
          <w:lang w:val="en-US"/>
        </w:rPr>
        <w:t xml:space="preserve"> in order to capture the effect that the ENSO cycle has on the electricity prices </w:t>
      </w:r>
      <w:r w:rsidR="001F60B7" w:rsidRPr="001F60B7">
        <w:rPr>
          <w:rFonts w:eastAsiaTheme="minorEastAsia"/>
          <w:color w:val="FF0000"/>
          <w:lang w:val="en-US"/>
        </w:rPr>
        <w:t>(Figure)</w:t>
      </w:r>
      <w:r w:rsidR="00AF1489">
        <w:rPr>
          <w:rFonts w:eastAsiaTheme="minorEastAsia"/>
          <w:lang w:val="en-US"/>
        </w:rPr>
        <w:t xml:space="preserve">. However, the models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m:t>
            </m:r>
          </m:e>
        </m:d>
      </m:oMath>
      <w:r w:rsidR="00AF1489">
        <w:rPr>
          <w:rFonts w:eastAsiaTheme="minorEastAsia"/>
          <w:lang w:val="en-US"/>
        </w:rPr>
        <w:t xml:space="preserve"> through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10</m:t>
            </m:r>
          </m:sub>
        </m:sSub>
        <m:d>
          <m:dPr>
            <m:ctrlPr>
              <w:rPr>
                <w:rFonts w:ascii="Cambria Math" w:hAnsi="Cambria Math"/>
                <w:i/>
                <w:lang w:val="en-US"/>
              </w:rPr>
            </m:ctrlPr>
          </m:dPr>
          <m:e>
            <m:r>
              <w:rPr>
                <w:rFonts w:ascii="Cambria Math" w:hAnsi="Cambria Math"/>
                <w:lang w:val="en-US"/>
              </w:rPr>
              <m:t>t</m:t>
            </m:r>
          </m:e>
        </m:d>
      </m:oMath>
      <w:r w:rsidR="0000799B">
        <w:rPr>
          <w:rFonts w:eastAsiaTheme="minorEastAsia"/>
          <w:lang w:val="en-US"/>
        </w:rPr>
        <w:t xml:space="preserve"> are kept as independent from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oMath>
      <w:r w:rsidR="0000799B">
        <w:rPr>
          <w:rFonts w:eastAsiaTheme="minorEastAsia"/>
          <w:lang w:val="en-US"/>
        </w:rPr>
        <w:t xml:space="preserve"> to be able to compare the effect of taking the ENSO probabilities into account in the models.</w:t>
      </w:r>
      <w:r w:rsidR="00C240E9">
        <w:rPr>
          <w:rFonts w:eastAsiaTheme="minorEastAsia"/>
          <w:lang w:val="en-US"/>
        </w:rPr>
        <w:t xml:space="preserve"> </w:t>
      </w:r>
    </w:p>
    <w:p w:rsidR="00ED113E" w:rsidRDefault="006F0470" w:rsidP="00F75CA7">
      <w:pPr>
        <w:jc w:val="both"/>
        <w:rPr>
          <w:rFonts w:eastAsiaTheme="minorEastAsia"/>
          <w:lang w:val="en-US"/>
        </w:rPr>
      </w:pPr>
      <w:r>
        <w:rPr>
          <w:rFonts w:eastAsiaTheme="minorEastAsia"/>
          <w:lang w:val="en-US"/>
        </w:rPr>
        <w:t>Now, the deterministic function</w:t>
      </w:r>
      <w:r w:rsidR="00E10FE1">
        <w:rPr>
          <w:rFonts w:eastAsiaTheme="minorEastAsia"/>
          <w:lang w:val="en-US"/>
        </w:rPr>
        <w:t>s</w:t>
      </w:r>
      <w:r>
        <w:rPr>
          <w:rFonts w:eastAsiaTheme="minorEastAsia"/>
          <w:lang w:val="en-US"/>
        </w:rPr>
        <w:t xml:space="preserve"> used to </w:t>
      </w:r>
      <w:r w:rsidR="00E10FE1">
        <w:rPr>
          <w:rFonts w:eastAsiaTheme="minorEastAsia"/>
          <w:lang w:val="en-US"/>
        </w:rPr>
        <w:t xml:space="preserve">model the natural logarithm of the electricity prices is very similar to the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oMath>
      <w:r w:rsidR="00E10FE1">
        <w:rPr>
          <w:rFonts w:eastAsiaTheme="minorEastAsia"/>
          <w:lang w:val="en-US"/>
        </w:rPr>
        <w:t xml:space="preserve"> through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10</m:t>
            </m:r>
          </m:sub>
        </m:sSub>
        <m:d>
          <m:dPr>
            <m:ctrlPr>
              <w:rPr>
                <w:rFonts w:ascii="Cambria Math" w:hAnsi="Cambria Math"/>
                <w:i/>
                <w:lang w:val="en-US"/>
              </w:rPr>
            </m:ctrlPr>
          </m:dPr>
          <m:e>
            <m:r>
              <w:rPr>
                <w:rFonts w:ascii="Cambria Math" w:hAnsi="Cambria Math"/>
                <w:lang w:val="en-US"/>
              </w:rPr>
              <m:t>t</m:t>
            </m:r>
          </m:e>
        </m:d>
      </m:oMath>
      <w:r w:rsidR="00E10FE1">
        <w:rPr>
          <w:rFonts w:eastAsiaTheme="minorEastAsia"/>
          <w:lang w:val="en-US"/>
        </w:rPr>
        <w:t>; however,</w:t>
      </w:r>
      <w:r w:rsidR="004C6600">
        <w:rPr>
          <w:rFonts w:eastAsiaTheme="minorEastAsia"/>
          <w:lang w:val="en-US"/>
        </w:rPr>
        <w:t xml:space="preserve"> </w:t>
      </w:r>
      <w:r w:rsidR="004C6600" w:rsidRPr="004C6600">
        <w:rPr>
          <w:rFonts w:eastAsiaTheme="minorEastAsia"/>
          <w:color w:val="FF0000"/>
          <w:lang w:val="en-US"/>
        </w:rPr>
        <w:t xml:space="preserve">as it was shown in </w:t>
      </w:r>
      <w:r w:rsidR="004C6600">
        <w:rPr>
          <w:rFonts w:eastAsiaTheme="minorEastAsia"/>
          <w:lang w:val="en-US"/>
        </w:rPr>
        <w:t>,</w:t>
      </w:r>
      <w:r w:rsidR="00E10FE1">
        <w:rPr>
          <w:rFonts w:eastAsiaTheme="minorEastAsia"/>
          <w:lang w:val="en-US"/>
        </w:rPr>
        <w:t xml:space="preserve"> the most dominant frequenci</w:t>
      </w:r>
      <w:r w:rsidR="008A1EDC">
        <w:rPr>
          <w:rFonts w:eastAsiaTheme="minorEastAsia"/>
          <w:lang w:val="en-US"/>
        </w:rPr>
        <w:t xml:space="preserve">es present in the </w:t>
      </w:r>
      <m:oMath>
        <m:r>
          <w:rPr>
            <w:rFonts w:ascii="Cambria Math" w:eastAsiaTheme="minorEastAsia" w:hAnsi="Cambria Math"/>
            <w:lang w:val="en-US"/>
          </w:rPr>
          <m:t>Ln(</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oMath>
      <w:r w:rsidR="008A1EDC">
        <w:rPr>
          <w:rFonts w:eastAsiaTheme="minorEastAsia"/>
          <w:lang w:val="en-US"/>
        </w:rPr>
        <w:t xml:space="preserve"> time series</w:t>
      </w:r>
      <w:r w:rsidR="00E10FE1">
        <w:rPr>
          <w:rFonts w:eastAsiaTheme="minorEastAsia"/>
          <w:lang w:val="en-US"/>
        </w:rPr>
        <w:t xml:space="preserve"> </w:t>
      </w:r>
      <w:r w:rsidR="008A1EDC">
        <w:rPr>
          <w:rFonts w:eastAsiaTheme="minorEastAsia"/>
          <w:lang w:val="en-US"/>
        </w:rPr>
        <w:t xml:space="preserve">are different than the ones present in the </w:t>
      </w:r>
      <m:oMath>
        <m:r>
          <w:rPr>
            <w:rFonts w:ascii="Cambria Math" w:eastAsiaTheme="minorEastAsia" w:hAnsi="Cambria Math"/>
            <w:lang w:val="en-US"/>
          </w:rPr>
          <m:t>S(t)</m:t>
        </m:r>
      </m:oMath>
      <w:r w:rsidR="008A1EDC">
        <w:rPr>
          <w:rFonts w:eastAsiaTheme="minorEastAsia"/>
          <w:lang w:val="en-US"/>
        </w:rPr>
        <w:t xml:space="preserve"> time</w:t>
      </w:r>
      <w:r w:rsidR="00741E27">
        <w:rPr>
          <w:rFonts w:eastAsiaTheme="minorEastAsia"/>
          <w:lang w:val="en-US"/>
        </w:rPr>
        <w:t xml:space="preserve"> series</w:t>
      </w:r>
      <w:r w:rsidR="006D27A0">
        <w:rPr>
          <w:rFonts w:eastAsiaTheme="minorEastAsia"/>
          <w:lang w:val="en-US"/>
        </w:rPr>
        <w:t>. Hence, the deterministic functions</w:t>
      </w:r>
      <w:r w:rsidR="00092594">
        <w:rPr>
          <w:rFonts w:eastAsiaTheme="minorEastAsia"/>
          <w:lang w:val="en-US"/>
        </w:rPr>
        <w:t xml:space="preserve"> that are going to be used to model the log prices are proposed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704"/>
        <w:gridCol w:w="724"/>
      </w:tblGrid>
      <w:tr w:rsidR="00092594" w:rsidTr="00544C9C">
        <w:tc>
          <w:tcPr>
            <w:tcW w:w="2410" w:type="dxa"/>
            <w:vAlign w:val="center"/>
          </w:tcPr>
          <w:p w:rsidR="00092594" w:rsidRPr="00544C9C" w:rsidRDefault="00092594" w:rsidP="0084090E">
            <w:pPr>
              <w:jc w:val="center"/>
              <w:rPr>
                <w:color w:val="FF0000"/>
                <w:lang w:val="en-US"/>
              </w:rPr>
            </w:pPr>
            <m:oMathPara>
              <m:oMath>
                <m:r>
                  <w:rPr>
                    <w:rFonts w:ascii="Cambria Math" w:hAnsi="Cambria Math"/>
                    <w:color w:val="FF0000"/>
                    <w:sz w:val="20"/>
                    <w:lang w:val="en-US"/>
                  </w:rPr>
                  <m:t>∀m∈{11,12,13,…,19}</m:t>
                </m:r>
              </m:oMath>
            </m:oMathPara>
          </w:p>
        </w:tc>
        <w:tc>
          <w:tcPr>
            <w:tcW w:w="5704" w:type="dxa"/>
            <w:vAlign w:val="center"/>
          </w:tcPr>
          <w:p w:rsidR="00092594" w:rsidRPr="00544C9C" w:rsidRDefault="009B0E42" w:rsidP="0084090E">
            <w:pPr>
              <w:jc w:val="center"/>
              <w:rPr>
                <w:color w:val="FF0000"/>
                <w:lang w:val="en-US"/>
              </w:rPr>
            </w:pPr>
            <m:oMathPara>
              <m:oMath>
                <m:sSub>
                  <m:sSubPr>
                    <m:ctrlPr>
                      <w:rPr>
                        <w:rFonts w:ascii="Cambria Math" w:hAnsi="Cambria Math"/>
                        <w:i/>
                        <w:color w:val="FF0000"/>
                        <w:lang w:val="en-US"/>
                      </w:rPr>
                    </m:ctrlPr>
                  </m:sSubPr>
                  <m:e>
                    <m:r>
                      <w:rPr>
                        <w:rFonts w:ascii="Cambria Math" w:hAnsi="Cambria Math"/>
                        <w:color w:val="FF0000"/>
                        <w:lang w:val="en-US"/>
                      </w:rPr>
                      <m:t>g</m:t>
                    </m:r>
                  </m:e>
                  <m:sub>
                    <m:r>
                      <w:rPr>
                        <w:rFonts w:ascii="Cambria Math" w:hAnsi="Cambria Math"/>
                        <w:color w:val="FF0000"/>
                        <w:lang w:val="en-US"/>
                      </w:rPr>
                      <m:t>m</m:t>
                    </m:r>
                  </m:sub>
                </m:sSub>
                <m:d>
                  <m:dPr>
                    <m:ctrlPr>
                      <w:rPr>
                        <w:rFonts w:ascii="Cambria Math" w:hAnsi="Cambria Math"/>
                        <w:i/>
                        <w:color w:val="FF0000"/>
                        <w:lang w:val="en-US"/>
                      </w:rPr>
                    </m:ctrlPr>
                  </m:dPr>
                  <m:e>
                    <m:r>
                      <w:rPr>
                        <w:rFonts w:ascii="Cambria Math" w:hAnsi="Cambria Math"/>
                        <w:color w:val="FF0000"/>
                        <w:lang w:val="en-US"/>
                      </w:rPr>
                      <m:t>t</m:t>
                    </m:r>
                  </m:e>
                </m:d>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f</m:t>
                    </m:r>
                  </m:e>
                  <m:sub>
                    <m:r>
                      <w:rPr>
                        <w:rFonts w:ascii="Cambria Math" w:hAnsi="Cambria Math"/>
                        <w:color w:val="FF0000"/>
                        <w:lang w:val="en-US"/>
                      </w:rPr>
                      <m:t>1</m:t>
                    </m:r>
                  </m:sub>
                </m:sSub>
                <m:d>
                  <m:dPr>
                    <m:ctrlPr>
                      <w:rPr>
                        <w:rFonts w:ascii="Cambria Math" w:hAnsi="Cambria Math"/>
                        <w:i/>
                        <w:color w:val="FF0000"/>
                        <w:lang w:val="en-US"/>
                      </w:rPr>
                    </m:ctrlPr>
                  </m:dPr>
                  <m:e>
                    <m:r>
                      <w:rPr>
                        <w:rFonts w:ascii="Cambria Math" w:hAnsi="Cambria Math"/>
                        <w:color w:val="FF0000"/>
                        <w:lang w:val="en-US"/>
                      </w:rPr>
                      <m:t>t</m:t>
                    </m:r>
                  </m:e>
                </m:d>
                <m:r>
                  <w:rPr>
                    <w:rFonts w:ascii="Cambria Math" w:hAnsi="Cambria Math"/>
                    <w:color w:val="FF0000"/>
                    <w:lang w:val="en-US"/>
                  </w:rPr>
                  <m:t xml:space="preserve">+ </m:t>
                </m:r>
                <m:sSub>
                  <m:sSubPr>
                    <m:ctrlPr>
                      <w:rPr>
                        <w:rFonts w:ascii="Cambria Math" w:hAnsi="Cambria Math"/>
                        <w:i/>
                        <w:color w:val="FF0000"/>
                        <w:lang w:val="en-US"/>
                      </w:rPr>
                    </m:ctrlPr>
                  </m:sSubPr>
                  <m:e>
                    <m:r>
                      <w:rPr>
                        <w:rFonts w:ascii="Cambria Math" w:hAnsi="Cambria Math"/>
                        <w:color w:val="FF0000"/>
                        <w:lang w:val="en-US"/>
                      </w:rPr>
                      <m:t>ψ</m:t>
                    </m:r>
                  </m:e>
                  <m:sub>
                    <m:r>
                      <w:rPr>
                        <w:rFonts w:ascii="Cambria Math" w:hAnsi="Cambria Math"/>
                        <w:color w:val="FF0000"/>
                        <w:lang w:val="en-US"/>
                      </w:rPr>
                      <m:t>No,m</m:t>
                    </m:r>
                  </m:sub>
                </m:sSub>
                <m:sSub>
                  <m:sSubPr>
                    <m:ctrlPr>
                      <w:rPr>
                        <w:rFonts w:ascii="Cambria Math" w:hAnsi="Cambria Math"/>
                        <w:i/>
                        <w:color w:val="FF0000"/>
                        <w:lang w:val="en-US"/>
                      </w:rPr>
                    </m:ctrlPr>
                  </m:sSubPr>
                  <m:e>
                    <m:r>
                      <w:rPr>
                        <w:rFonts w:ascii="Cambria Math" w:hAnsi="Cambria Math"/>
                        <w:color w:val="FF0000"/>
                        <w:lang w:val="en-US"/>
                      </w:rPr>
                      <m:t>P</m:t>
                    </m:r>
                  </m:e>
                  <m:sub>
                    <m:r>
                      <w:rPr>
                        <w:rFonts w:ascii="Cambria Math" w:hAnsi="Cambria Math"/>
                        <w:color w:val="FF0000"/>
                        <w:lang w:val="en-US"/>
                      </w:rPr>
                      <m:t>No,m</m:t>
                    </m:r>
                  </m:sub>
                </m:sSub>
                <m:r>
                  <w:rPr>
                    <w:rFonts w:ascii="Cambria Math" w:hAnsi="Cambria Math"/>
                    <w:color w:val="FF0000"/>
                    <w:lang w:val="en-US"/>
                  </w:rPr>
                  <m:t>(t)+</m:t>
                </m:r>
                <m:sSub>
                  <m:sSubPr>
                    <m:ctrlPr>
                      <w:rPr>
                        <w:rFonts w:ascii="Cambria Math" w:hAnsi="Cambria Math"/>
                        <w:i/>
                        <w:color w:val="FF0000"/>
                        <w:lang w:val="en-US"/>
                      </w:rPr>
                    </m:ctrlPr>
                  </m:sSubPr>
                  <m:e>
                    <m:r>
                      <w:rPr>
                        <w:rFonts w:ascii="Cambria Math" w:hAnsi="Cambria Math"/>
                        <w:color w:val="FF0000"/>
                        <w:lang w:val="en-US"/>
                      </w:rPr>
                      <m:t>ψ</m:t>
                    </m:r>
                  </m:e>
                  <m:sub>
                    <m:r>
                      <w:rPr>
                        <w:rFonts w:ascii="Cambria Math" w:hAnsi="Cambria Math"/>
                        <w:color w:val="FF0000"/>
                        <w:lang w:val="en-US"/>
                      </w:rPr>
                      <m:t>Na,m</m:t>
                    </m:r>
                  </m:sub>
                </m:sSub>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P</m:t>
                    </m:r>
                  </m:e>
                  <m:sub>
                    <m:r>
                      <w:rPr>
                        <w:rFonts w:ascii="Cambria Math" w:eastAsiaTheme="minorEastAsia" w:hAnsi="Cambria Math"/>
                        <w:color w:val="FF0000"/>
                        <w:lang w:val="en-US"/>
                      </w:rPr>
                      <m:t>Na,m</m:t>
                    </m:r>
                  </m:sub>
                </m:sSub>
                <m:d>
                  <m:dPr>
                    <m:ctrlPr>
                      <w:rPr>
                        <w:rFonts w:ascii="Cambria Math" w:eastAsiaTheme="minorEastAsia" w:hAnsi="Cambria Math"/>
                        <w:i/>
                        <w:color w:val="FF0000"/>
                        <w:lang w:val="en-US"/>
                      </w:rPr>
                    </m:ctrlPr>
                  </m:dPr>
                  <m:e>
                    <m:r>
                      <w:rPr>
                        <w:rFonts w:ascii="Cambria Math" w:eastAsiaTheme="minorEastAsia" w:hAnsi="Cambria Math"/>
                        <w:color w:val="FF0000"/>
                        <w:lang w:val="en-US"/>
                      </w:rPr>
                      <m:t>t</m:t>
                    </m:r>
                  </m:e>
                </m:d>
              </m:oMath>
            </m:oMathPara>
          </w:p>
        </w:tc>
        <w:tc>
          <w:tcPr>
            <w:tcW w:w="724" w:type="dxa"/>
            <w:vAlign w:val="center"/>
          </w:tcPr>
          <w:p w:rsidR="00092594" w:rsidRDefault="00092594" w:rsidP="0084090E">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8</w:t>
            </w:r>
            <w:r>
              <w:rPr>
                <w:lang w:val="en-US"/>
              </w:rPr>
              <w:fldChar w:fldCharType="end"/>
            </w:r>
            <w:r>
              <w:rPr>
                <w:lang w:val="en-US"/>
              </w:rPr>
              <w:t>)</w:t>
            </w:r>
          </w:p>
        </w:tc>
      </w:tr>
    </w:tbl>
    <w:p w:rsidR="00092594" w:rsidRDefault="00092594" w:rsidP="00F75CA7">
      <w:pPr>
        <w:jc w:val="both"/>
        <w:rPr>
          <w:b/>
          <w:lang w:val="en-US"/>
        </w:rPr>
      </w:pPr>
    </w:p>
    <w:p w:rsidR="002F7669" w:rsidRDefault="00B312B5" w:rsidP="00B312B5">
      <w:pPr>
        <w:pStyle w:val="Ttulo2"/>
        <w:rPr>
          <w:b/>
          <w:lang w:val="en-US"/>
        </w:rPr>
      </w:pPr>
      <w:r>
        <w:rPr>
          <w:b/>
          <w:lang w:val="en-US"/>
        </w:rPr>
        <w:t>Price models and parameter estimation</w:t>
      </w:r>
    </w:p>
    <w:p w:rsidR="00B312B5" w:rsidRDefault="0084090E" w:rsidP="00FC4605">
      <w:pPr>
        <w:jc w:val="both"/>
        <w:rPr>
          <w:lang w:val="en-US"/>
        </w:rPr>
      </w:pPr>
      <w:r>
        <w:rPr>
          <w:lang w:val="en-US"/>
        </w:rPr>
        <w:t xml:space="preserve">In order to estimate the parameters of the model using the discrete data available, the continuous-time </w:t>
      </w:r>
      <w:r w:rsidRPr="0084090E">
        <w:rPr>
          <w:color w:val="FF0000"/>
          <w:lang w:val="en-US"/>
        </w:rPr>
        <w:t>equation</w:t>
      </w:r>
      <w:r w:rsidR="00BA5171">
        <w:rPr>
          <w:color w:val="FF0000"/>
          <w:lang w:val="en-US"/>
        </w:rPr>
        <w:t>s</w:t>
      </w:r>
      <w:r w:rsidR="00BA5171">
        <w:rPr>
          <w:lang w:val="en-US"/>
        </w:rPr>
        <w:t xml:space="preserve"> were</w:t>
      </w:r>
      <w:r>
        <w:rPr>
          <w:lang w:val="en-US"/>
        </w:rPr>
        <w:t xml:space="preserve"> </w:t>
      </w:r>
      <w:r w:rsidR="0033189A">
        <w:rPr>
          <w:lang w:val="en-US"/>
        </w:rPr>
        <w:t>discretized</w:t>
      </w:r>
      <w:r>
        <w:rPr>
          <w:lang w:val="en-US"/>
        </w:rPr>
        <w:t xml:space="preserv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371"/>
        <w:gridCol w:w="753"/>
      </w:tblGrid>
      <w:tr w:rsidR="0084090E" w:rsidTr="00C97F16">
        <w:tc>
          <w:tcPr>
            <w:tcW w:w="704" w:type="dxa"/>
            <w:vAlign w:val="center"/>
          </w:tcPr>
          <w:p w:rsidR="0084090E" w:rsidRDefault="0084090E" w:rsidP="00C97F16">
            <w:pPr>
              <w:jc w:val="center"/>
              <w:rPr>
                <w:lang w:val="en-US"/>
              </w:rPr>
            </w:pPr>
          </w:p>
        </w:tc>
        <w:tc>
          <w:tcPr>
            <w:tcW w:w="7371" w:type="dxa"/>
            <w:vAlign w:val="center"/>
          </w:tcPr>
          <w:p w:rsidR="0084090E" w:rsidRPr="00BA5171" w:rsidRDefault="009B0E42" w:rsidP="00BA517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1-κ</m:t>
                    </m: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t-1</m:t>
                    </m:r>
                  </m:sub>
                </m:sSub>
                <m:r>
                  <w:rPr>
                    <w:rFonts w:ascii="Cambria Math" w:eastAsiaTheme="minorEastAsia" w:hAnsi="Cambria Math"/>
                    <w:lang w:val="en-US"/>
                  </w:rPr>
                  <m:t>+σ</m:t>
                </m:r>
                <m:sSub>
                  <m:sSubPr>
                    <m:ctrlPr>
                      <w:rPr>
                        <w:rFonts w:ascii="Cambria Math" w:eastAsiaTheme="minorEastAsia" w:hAnsi="Cambria Math"/>
                        <w:lang w:val="en-US"/>
                      </w:rPr>
                    </m:ctrlPr>
                  </m:sSubPr>
                  <m:e>
                    <m:r>
                      <m:rPr>
                        <m:sty m:val="p"/>
                      </m:rPr>
                      <w:rPr>
                        <w:rFonts w:ascii="Cambria Math" w:eastAsiaTheme="minorEastAsia" w:hAnsi="Cambria Math"/>
                        <w:lang w:val="en-US"/>
                      </w:rPr>
                      <m:t>ε</m:t>
                    </m:r>
                  </m:e>
                  <m:sub>
                    <m:r>
                      <m:rPr>
                        <m:sty m:val="p"/>
                      </m:rPr>
                      <w:rPr>
                        <w:rFonts w:ascii="Cambria Math" w:eastAsiaTheme="minorEastAsia" w:hAnsi="Cambria Math"/>
                        <w:lang w:val="en-US"/>
                      </w:rPr>
                      <m:t>t</m:t>
                    </m:r>
                  </m:sub>
                </m:sSub>
              </m:oMath>
            </m:oMathPara>
          </w:p>
        </w:tc>
        <w:tc>
          <w:tcPr>
            <w:tcW w:w="753" w:type="dxa"/>
            <w:vAlign w:val="center"/>
          </w:tcPr>
          <w:p w:rsidR="0084090E" w:rsidRDefault="0084090E"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9</w:t>
            </w:r>
            <w:r>
              <w:rPr>
                <w:lang w:val="en-US"/>
              </w:rPr>
              <w:fldChar w:fldCharType="end"/>
            </w:r>
            <w:r>
              <w:rPr>
                <w:lang w:val="en-US"/>
              </w:rPr>
              <w:t>)</w:t>
            </w:r>
          </w:p>
        </w:tc>
      </w:tr>
      <w:tr w:rsidR="00BA5171" w:rsidTr="00C97F16">
        <w:tc>
          <w:tcPr>
            <w:tcW w:w="704" w:type="dxa"/>
            <w:vAlign w:val="center"/>
          </w:tcPr>
          <w:p w:rsidR="00BA5171" w:rsidRDefault="00BA5171" w:rsidP="00C97F16">
            <w:pPr>
              <w:jc w:val="center"/>
              <w:rPr>
                <w:lang w:val="en-US"/>
              </w:rPr>
            </w:pPr>
          </w:p>
        </w:tc>
        <w:tc>
          <w:tcPr>
            <w:tcW w:w="7371" w:type="dxa"/>
            <w:vAlign w:val="center"/>
          </w:tcPr>
          <w:p w:rsidR="00BA5171" w:rsidRDefault="00BA5171" w:rsidP="00BA5171">
            <w:pPr>
              <w:jc w:val="both"/>
              <w:rPr>
                <w:rFonts w:ascii="Calibri" w:eastAsia="Calibri" w:hAnsi="Calibri" w:cs="Times New Roman"/>
                <w:lang w:val="en-US"/>
              </w:rPr>
            </w:pPr>
          </w:p>
        </w:tc>
        <w:tc>
          <w:tcPr>
            <w:tcW w:w="753" w:type="dxa"/>
            <w:vAlign w:val="center"/>
          </w:tcPr>
          <w:p w:rsidR="00BA5171" w:rsidRDefault="00BA5171" w:rsidP="00DF4C4F">
            <w:pPr>
              <w:jc w:val="center"/>
              <w:rPr>
                <w:lang w:val="en-US"/>
              </w:rPr>
            </w:pPr>
          </w:p>
        </w:tc>
      </w:tr>
      <w:tr w:rsidR="00BA5171" w:rsidTr="00C97F16">
        <w:tc>
          <w:tcPr>
            <w:tcW w:w="704" w:type="dxa"/>
            <w:vAlign w:val="center"/>
          </w:tcPr>
          <w:p w:rsidR="00BA5171" w:rsidRDefault="00BA5171" w:rsidP="00C97F16">
            <w:pPr>
              <w:jc w:val="center"/>
              <w:rPr>
                <w:lang w:val="en-US"/>
              </w:rPr>
            </w:pPr>
          </w:p>
        </w:tc>
        <w:tc>
          <w:tcPr>
            <w:tcW w:w="7371" w:type="dxa"/>
            <w:vAlign w:val="center"/>
          </w:tcPr>
          <w:p w:rsidR="00BA5171" w:rsidRPr="007F4226" w:rsidRDefault="009B0E42" w:rsidP="00DF4C4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=(-κ)</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t-1</m:t>
                    </m:r>
                  </m:sub>
                </m:sSub>
                <m:r>
                  <w:rPr>
                    <w:rFonts w:ascii="Cambria Math" w:hAnsi="Cambria Math"/>
                    <w:lang w:val="en-US"/>
                  </w:rPr>
                  <m:t>+σ</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m:oMathPara>
          </w:p>
          <w:p w:rsidR="00BA5171" w:rsidRDefault="00BA5171" w:rsidP="00C97F16">
            <w:pPr>
              <w:jc w:val="center"/>
              <w:rPr>
                <w:lang w:val="en-US"/>
              </w:rPr>
            </w:pPr>
          </w:p>
        </w:tc>
        <w:tc>
          <w:tcPr>
            <w:tcW w:w="753" w:type="dxa"/>
            <w:vAlign w:val="center"/>
          </w:tcPr>
          <w:p w:rsidR="00BA5171" w:rsidRDefault="00BA5171" w:rsidP="00DF4C4F">
            <w:pPr>
              <w:jc w:val="center"/>
              <w:rPr>
                <w:lang w:val="en-US"/>
              </w:rPr>
            </w:pPr>
            <w:r>
              <w:rPr>
                <w:lang w:val="en-US"/>
              </w:rPr>
              <w:t>(</w:t>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EQ </w:instrText>
            </w:r>
            <w:r>
              <w:rPr>
                <w:lang w:val="en-US"/>
              </w:rPr>
              <w:fldChar w:fldCharType="end"/>
            </w:r>
            <w:r>
              <w:rPr>
                <w:lang w:val="en-US"/>
              </w:rPr>
              <w:fldChar w:fldCharType="begin"/>
            </w:r>
            <w:r>
              <w:rPr>
                <w:lang w:val="en-US"/>
              </w:rPr>
              <w:instrText xml:space="preserve"> SEQ eq \* MERGEFORMAT </w:instrText>
            </w:r>
            <w:r>
              <w:rPr>
                <w:lang w:val="en-US"/>
              </w:rPr>
              <w:fldChar w:fldCharType="separate"/>
            </w:r>
            <w:r>
              <w:rPr>
                <w:noProof/>
                <w:lang w:val="en-US"/>
              </w:rPr>
              <w:t>10</w:t>
            </w:r>
            <w:r>
              <w:rPr>
                <w:lang w:val="en-US"/>
              </w:rPr>
              <w:fldChar w:fldCharType="end"/>
            </w:r>
            <w:r>
              <w:rPr>
                <w:lang w:val="en-US"/>
              </w:rPr>
              <w:t>)</w:t>
            </w:r>
          </w:p>
        </w:tc>
      </w:tr>
    </w:tbl>
    <w:p w:rsidR="0084090E" w:rsidRDefault="00BA5171" w:rsidP="0080227E">
      <w:pPr>
        <w:jc w:val="both"/>
        <w:rPr>
          <w:rFonts w:eastAsiaTheme="minorEastAsia"/>
          <w:lang w:val="en-US"/>
        </w:rPr>
      </w:pPr>
      <w:r>
        <w:rPr>
          <w:lang w:val="en-US"/>
        </w:rPr>
        <w:t xml:space="preserve">Where the stochastic parts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hAnsi="Cambria Math"/>
            <w:lang w:val="en-US"/>
          </w:rPr>
          <m:t>~</m:t>
        </m:r>
        <m:r>
          <w:rPr>
            <w:rFonts w:ascii="Cambria Math" w:eastAsiaTheme="minorEastAsia" w:hAnsi="Cambria Math"/>
            <w:lang w:val="en-US"/>
          </w:rPr>
          <m:t>N(0,1)</m:t>
        </m:r>
      </m:oMath>
      <w:r>
        <w:rPr>
          <w:rFonts w:eastAsiaTheme="minorEastAsia"/>
          <w:lang w:val="en-US"/>
        </w:rPr>
        <w:t xml:space="preserve"> are independent and identically distributed (i.i.d.) for every hour </w:t>
      </w:r>
      <m:oMath>
        <m:r>
          <w:rPr>
            <w:rFonts w:ascii="Cambria Math" w:eastAsiaTheme="minorEastAsia" w:hAnsi="Cambria Math"/>
            <w:lang w:val="en-US"/>
          </w:rPr>
          <m:t>t</m:t>
        </m:r>
      </m:oMath>
      <w:r w:rsidR="004F169B">
        <w:rPr>
          <w:rFonts w:eastAsiaTheme="minorEastAsia"/>
          <w:lang w:val="en-US"/>
        </w:rPr>
        <w:t xml:space="preserve">. Now, by implementing this </w:t>
      </w:r>
      <w:r w:rsidR="0033189A">
        <w:rPr>
          <w:rFonts w:eastAsiaTheme="minorEastAsia"/>
          <w:lang w:val="en-US"/>
        </w:rPr>
        <w:t>discretization</w:t>
      </w:r>
      <w:r w:rsidR="004F169B">
        <w:rPr>
          <w:rFonts w:eastAsiaTheme="minorEastAsia"/>
          <w:lang w:val="en-US"/>
        </w:rPr>
        <w:t xml:space="preserve"> and the deterministic component that were explained before, th</w:t>
      </w:r>
      <w:r w:rsidR="0080227E">
        <w:rPr>
          <w:rFonts w:eastAsiaTheme="minorEastAsia"/>
          <w:lang w:val="en-US"/>
        </w:rPr>
        <w:t>e following models are proposed:</w:t>
      </w:r>
    </w:p>
    <w:p w:rsidR="0080227E" w:rsidRDefault="0080227E" w:rsidP="0080227E">
      <w:pPr>
        <w:jc w:val="both"/>
        <w:rPr>
          <w:rFonts w:eastAsiaTheme="minorEastAsia"/>
          <w:i/>
          <w:lang w:val="en-US"/>
        </w:rPr>
      </w:pPr>
      <w:r>
        <w:rPr>
          <w:rFonts w:eastAsiaTheme="minorEastAsia"/>
          <w:b/>
          <w:i/>
          <w:lang w:val="en-US"/>
        </w:rPr>
        <w:t xml:space="preserve">Model 1. </w:t>
      </w:r>
      <w:r w:rsidR="008B4AB9">
        <w:rPr>
          <w:rFonts w:eastAsiaTheme="minorEastAsia"/>
          <w:i/>
          <w:lang w:val="en-US"/>
        </w:rPr>
        <w:t>Price- Time-related variables only</w:t>
      </w:r>
    </w:p>
    <w:p w:rsidR="00814844" w:rsidRPr="008B4AB9" w:rsidRDefault="009B0E42" w:rsidP="0080227E">
      <w:pPr>
        <w:jc w:val="both"/>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m:oMathPara>
    </w:p>
    <w:p w:rsidR="008B4AB9" w:rsidRDefault="0080227E" w:rsidP="0080227E">
      <w:pPr>
        <w:jc w:val="both"/>
        <w:rPr>
          <w:rFonts w:eastAsiaTheme="minorEastAsia"/>
          <w:i/>
          <w:lang w:val="en-US"/>
        </w:rPr>
      </w:pPr>
      <w:r>
        <w:rPr>
          <w:rFonts w:eastAsiaTheme="minorEastAsia"/>
          <w:b/>
          <w:i/>
          <w:lang w:val="en-US"/>
        </w:rPr>
        <w:t>Models 2</w:t>
      </w:r>
      <w:r w:rsidR="002B0796">
        <w:rPr>
          <w:rFonts w:eastAsiaTheme="minorEastAsia"/>
          <w:b/>
          <w:i/>
          <w:lang w:val="en-US"/>
        </w:rPr>
        <w:t>.</w:t>
      </w:r>
      <w:r>
        <w:rPr>
          <w:rFonts w:eastAsiaTheme="minorEastAsia"/>
          <w:b/>
          <w:i/>
          <w:lang w:val="en-US"/>
        </w:rPr>
        <w:t xml:space="preserve"> through 10</w:t>
      </w:r>
      <w:r w:rsidR="002B0796">
        <w:rPr>
          <w:rFonts w:eastAsiaTheme="minorEastAsia"/>
          <w:b/>
          <w:i/>
          <w:lang w:val="en-US"/>
        </w:rPr>
        <w:t>.</w:t>
      </w:r>
      <w:r w:rsidR="008B4AB9">
        <w:rPr>
          <w:rFonts w:eastAsiaTheme="minorEastAsia"/>
          <w:b/>
          <w:i/>
          <w:lang w:val="en-US"/>
        </w:rPr>
        <w:t xml:space="preserve"> </w:t>
      </w:r>
      <w:r w:rsidR="008B4AB9">
        <w:rPr>
          <w:rFonts w:eastAsiaTheme="minorEastAsia"/>
          <w:i/>
          <w:lang w:val="en-US"/>
        </w:rPr>
        <w:t xml:space="preserve">Price- Time-related </w:t>
      </w:r>
      <w:r w:rsidR="0033189A">
        <w:rPr>
          <w:rFonts w:eastAsiaTheme="minorEastAsia"/>
          <w:i/>
          <w:lang w:val="en-US"/>
        </w:rPr>
        <w:t>variables</w:t>
      </w:r>
      <w:r w:rsidR="008B4AB9">
        <w:rPr>
          <w:rFonts w:eastAsiaTheme="minorEastAsia"/>
          <w:i/>
          <w:lang w:val="en-US"/>
        </w:rPr>
        <w:t xml:space="preserve"> and ENSO probabilities forecast</w:t>
      </w:r>
    </w:p>
    <w:p w:rsidR="00A96885" w:rsidRPr="00A96885" w:rsidRDefault="009B0E42" w:rsidP="0080227E">
      <w:pPr>
        <w:jc w:val="both"/>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m:oMathPara>
    </w:p>
    <w:p w:rsidR="00A96885" w:rsidRPr="00A96885" w:rsidRDefault="00A96885" w:rsidP="0080227E">
      <w:pPr>
        <w:jc w:val="both"/>
        <w:rPr>
          <w:rFonts w:eastAsiaTheme="minorEastAsia"/>
          <w:lang w:val="en-US"/>
        </w:rPr>
      </w:pPr>
      <w:r>
        <w:rPr>
          <w:rFonts w:eastAsiaTheme="minorEastAsia"/>
          <w:lang w:val="en-US"/>
        </w:rPr>
        <w:t>Where, if m=2, the second model is being represented, if m=3, the third model is being represented and so on.</w:t>
      </w:r>
    </w:p>
    <w:p w:rsidR="0080227E" w:rsidRPr="008B4AB9" w:rsidRDefault="0080227E" w:rsidP="0080227E">
      <w:pPr>
        <w:jc w:val="both"/>
        <w:rPr>
          <w:rFonts w:eastAsiaTheme="minorEastAsia"/>
          <w:i/>
          <w:lang w:val="en-US"/>
        </w:rPr>
      </w:pPr>
      <w:r>
        <w:rPr>
          <w:rFonts w:eastAsiaTheme="minorEastAsia"/>
          <w:b/>
          <w:i/>
          <w:lang w:val="en-US"/>
        </w:rPr>
        <w:t>Model</w:t>
      </w:r>
      <w:r w:rsidR="002B0796">
        <w:rPr>
          <w:rFonts w:eastAsiaTheme="minorEastAsia"/>
          <w:b/>
          <w:i/>
          <w:lang w:val="en-US"/>
        </w:rPr>
        <w:t>s</w:t>
      </w:r>
      <w:r>
        <w:rPr>
          <w:rFonts w:eastAsiaTheme="minorEastAsia"/>
          <w:b/>
          <w:i/>
          <w:lang w:val="en-US"/>
        </w:rPr>
        <w:t xml:space="preserve"> 11</w:t>
      </w:r>
      <w:r w:rsidR="00D5076B">
        <w:rPr>
          <w:rFonts w:eastAsiaTheme="minorEastAsia"/>
          <w:b/>
          <w:i/>
          <w:lang w:val="en-US"/>
        </w:rPr>
        <w:t>.</w:t>
      </w:r>
      <w:r w:rsidR="002B0796">
        <w:rPr>
          <w:rFonts w:eastAsiaTheme="minorEastAsia"/>
          <w:b/>
          <w:i/>
          <w:lang w:val="en-US"/>
        </w:rPr>
        <w:t xml:space="preserve"> Through 19.</w:t>
      </w:r>
      <w:r w:rsidR="008B4AB9">
        <w:rPr>
          <w:rFonts w:eastAsiaTheme="minorEastAsia"/>
          <w:b/>
          <w:i/>
          <w:lang w:val="en-US"/>
        </w:rPr>
        <w:t xml:space="preserve"> </w:t>
      </w:r>
      <w:r w:rsidR="008B4AB9">
        <w:rPr>
          <w:rFonts w:eastAsiaTheme="minorEastAsia"/>
          <w:i/>
          <w:lang w:val="en-US"/>
        </w:rPr>
        <w:t xml:space="preserve"> Natural Logarithm of price- Time-related variables and ENSO probabilities forecast </w:t>
      </w:r>
    </w:p>
    <w:p w:rsidR="00A96885" w:rsidRPr="008B4AB9" w:rsidRDefault="009B0E42" w:rsidP="00A96885">
      <w:pPr>
        <w:jc w:val="both"/>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m:oMathPara>
    </w:p>
    <w:p w:rsidR="0080227E" w:rsidRPr="00813207" w:rsidRDefault="00A96885" w:rsidP="0080227E">
      <w:pPr>
        <w:jc w:val="both"/>
        <w:rPr>
          <w:rFonts w:eastAsiaTheme="minorEastAsia"/>
          <w:lang w:val="en-US"/>
        </w:rPr>
      </w:pPr>
      <w:r>
        <w:rPr>
          <w:rFonts w:eastAsiaTheme="minorEastAsia"/>
          <w:lang w:val="en-US"/>
        </w:rPr>
        <w:t>Where, if m=2, the second model is being represented, if m=3, the third model is being represented and so on.</w:t>
      </w:r>
    </w:p>
    <w:p w:rsidR="00186C03" w:rsidRDefault="00186C03" w:rsidP="00F75CA7">
      <w:pPr>
        <w:jc w:val="both"/>
        <w:rPr>
          <w:b/>
          <w:lang w:val="en-US"/>
        </w:rPr>
      </w:pPr>
      <w:r>
        <w:rPr>
          <w:b/>
          <w:lang w:val="en-US"/>
        </w:rPr>
        <w:t>Monte Carlo Simulation</w:t>
      </w:r>
    </w:p>
    <w:p w:rsidR="00186C03" w:rsidRPr="00876EC1" w:rsidRDefault="00186C03" w:rsidP="00F75CA7">
      <w:pPr>
        <w:jc w:val="both"/>
        <w:rPr>
          <w:b/>
          <w:lang w:val="en-US"/>
        </w:rPr>
      </w:pPr>
    </w:p>
    <w:p w:rsidR="009346C5" w:rsidRPr="009346C5" w:rsidRDefault="009346C5" w:rsidP="00F75CA7">
      <w:pPr>
        <w:jc w:val="both"/>
        <w:rPr>
          <w:lang w:val="en-US"/>
        </w:rPr>
      </w:pPr>
      <w:r>
        <w:rPr>
          <w:lang w:val="en-US"/>
        </w:rPr>
        <w:t xml:space="preserve"> </w:t>
      </w:r>
    </w:p>
    <w:p w:rsidR="003B3271" w:rsidRPr="00157C83" w:rsidRDefault="003B3271" w:rsidP="00F75CA7">
      <w:pPr>
        <w:jc w:val="both"/>
        <w:rPr>
          <w:lang w:val="en-US"/>
        </w:rPr>
      </w:pPr>
    </w:p>
    <w:sectPr w:rsidR="003B3271" w:rsidRPr="00157C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4E0" w:rsidRDefault="007504E0" w:rsidP="001B6673">
      <w:pPr>
        <w:spacing w:after="0" w:line="240" w:lineRule="auto"/>
      </w:pPr>
      <w:r>
        <w:separator/>
      </w:r>
    </w:p>
  </w:endnote>
  <w:endnote w:type="continuationSeparator" w:id="0">
    <w:p w:rsidR="007504E0" w:rsidRDefault="007504E0" w:rsidP="001B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4E0" w:rsidRDefault="007504E0" w:rsidP="001B6673">
      <w:pPr>
        <w:spacing w:after="0" w:line="240" w:lineRule="auto"/>
      </w:pPr>
      <w:r>
        <w:separator/>
      </w:r>
    </w:p>
  </w:footnote>
  <w:footnote w:type="continuationSeparator" w:id="0">
    <w:p w:rsidR="007504E0" w:rsidRDefault="007504E0" w:rsidP="001B66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C18D3"/>
    <w:multiLevelType w:val="multilevel"/>
    <w:tmpl w:val="2602A3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1538EF"/>
    <w:multiLevelType w:val="multilevel"/>
    <w:tmpl w:val="A76C70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705BFE"/>
    <w:multiLevelType w:val="hybridMultilevel"/>
    <w:tmpl w:val="5D84F0B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BF1D5E"/>
    <w:multiLevelType w:val="multilevel"/>
    <w:tmpl w:val="A76C70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6863AD"/>
    <w:multiLevelType w:val="multilevel"/>
    <w:tmpl w:val="A76C70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DC400E"/>
    <w:multiLevelType w:val="multilevel"/>
    <w:tmpl w:val="A76C70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262807"/>
    <w:multiLevelType w:val="multilevel"/>
    <w:tmpl w:val="A76C70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CF64A89"/>
    <w:multiLevelType w:val="hybridMultilevel"/>
    <w:tmpl w:val="FAB22BD0"/>
    <w:lvl w:ilvl="0" w:tplc="9C3E891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E8"/>
    <w:rsid w:val="0000045E"/>
    <w:rsid w:val="00000B08"/>
    <w:rsid w:val="0000112B"/>
    <w:rsid w:val="00004228"/>
    <w:rsid w:val="000049FC"/>
    <w:rsid w:val="00005D87"/>
    <w:rsid w:val="0000683B"/>
    <w:rsid w:val="00006FC9"/>
    <w:rsid w:val="0000758B"/>
    <w:rsid w:val="0000799B"/>
    <w:rsid w:val="000107DC"/>
    <w:rsid w:val="000113D2"/>
    <w:rsid w:val="00013021"/>
    <w:rsid w:val="00013091"/>
    <w:rsid w:val="00014CB1"/>
    <w:rsid w:val="00016C86"/>
    <w:rsid w:val="00017690"/>
    <w:rsid w:val="000216E2"/>
    <w:rsid w:val="000237A2"/>
    <w:rsid w:val="000245BF"/>
    <w:rsid w:val="0002541A"/>
    <w:rsid w:val="0002630B"/>
    <w:rsid w:val="00026EF3"/>
    <w:rsid w:val="00027821"/>
    <w:rsid w:val="00027C04"/>
    <w:rsid w:val="00034968"/>
    <w:rsid w:val="0003497C"/>
    <w:rsid w:val="00042F8B"/>
    <w:rsid w:val="00043D53"/>
    <w:rsid w:val="000454C3"/>
    <w:rsid w:val="00045999"/>
    <w:rsid w:val="00047858"/>
    <w:rsid w:val="00050AEA"/>
    <w:rsid w:val="000514AD"/>
    <w:rsid w:val="0005270D"/>
    <w:rsid w:val="00053290"/>
    <w:rsid w:val="00053446"/>
    <w:rsid w:val="0005551E"/>
    <w:rsid w:val="0005652B"/>
    <w:rsid w:val="00056CD7"/>
    <w:rsid w:val="00057947"/>
    <w:rsid w:val="00065BDF"/>
    <w:rsid w:val="00066590"/>
    <w:rsid w:val="00071345"/>
    <w:rsid w:val="00071925"/>
    <w:rsid w:val="000724D2"/>
    <w:rsid w:val="00074C57"/>
    <w:rsid w:val="00074E2A"/>
    <w:rsid w:val="000754BE"/>
    <w:rsid w:val="00076D20"/>
    <w:rsid w:val="000779B4"/>
    <w:rsid w:val="000803DC"/>
    <w:rsid w:val="00081AD3"/>
    <w:rsid w:val="00083FCE"/>
    <w:rsid w:val="00087861"/>
    <w:rsid w:val="00090545"/>
    <w:rsid w:val="0009090A"/>
    <w:rsid w:val="00091C58"/>
    <w:rsid w:val="00092594"/>
    <w:rsid w:val="000930C4"/>
    <w:rsid w:val="00093131"/>
    <w:rsid w:val="00094CB5"/>
    <w:rsid w:val="00095DFE"/>
    <w:rsid w:val="00096BAD"/>
    <w:rsid w:val="000A055E"/>
    <w:rsid w:val="000A1806"/>
    <w:rsid w:val="000A2403"/>
    <w:rsid w:val="000A3E3E"/>
    <w:rsid w:val="000A588F"/>
    <w:rsid w:val="000A7032"/>
    <w:rsid w:val="000B108A"/>
    <w:rsid w:val="000B1AC1"/>
    <w:rsid w:val="000B4276"/>
    <w:rsid w:val="000B5BBB"/>
    <w:rsid w:val="000B7B54"/>
    <w:rsid w:val="000C015D"/>
    <w:rsid w:val="000C0695"/>
    <w:rsid w:val="000C0790"/>
    <w:rsid w:val="000C10FA"/>
    <w:rsid w:val="000C13B1"/>
    <w:rsid w:val="000C2080"/>
    <w:rsid w:val="000C4C4E"/>
    <w:rsid w:val="000C4F88"/>
    <w:rsid w:val="000C5FA5"/>
    <w:rsid w:val="000D0194"/>
    <w:rsid w:val="000D230E"/>
    <w:rsid w:val="000D62E7"/>
    <w:rsid w:val="000D756D"/>
    <w:rsid w:val="000E0821"/>
    <w:rsid w:val="000E1500"/>
    <w:rsid w:val="000E15DC"/>
    <w:rsid w:val="000E1BA3"/>
    <w:rsid w:val="000E2192"/>
    <w:rsid w:val="000E463D"/>
    <w:rsid w:val="000E62A1"/>
    <w:rsid w:val="000E6CC0"/>
    <w:rsid w:val="000E7010"/>
    <w:rsid w:val="000E75E6"/>
    <w:rsid w:val="000E78B7"/>
    <w:rsid w:val="000E7AA1"/>
    <w:rsid w:val="000F00FB"/>
    <w:rsid w:val="000F1E09"/>
    <w:rsid w:val="000F26E8"/>
    <w:rsid w:val="000F4D9C"/>
    <w:rsid w:val="000F5132"/>
    <w:rsid w:val="000F5730"/>
    <w:rsid w:val="000F6562"/>
    <w:rsid w:val="000F721D"/>
    <w:rsid w:val="0010423C"/>
    <w:rsid w:val="00110527"/>
    <w:rsid w:val="001112D8"/>
    <w:rsid w:val="0011186C"/>
    <w:rsid w:val="00113427"/>
    <w:rsid w:val="0011365C"/>
    <w:rsid w:val="00116D4D"/>
    <w:rsid w:val="00116FE1"/>
    <w:rsid w:val="0012008E"/>
    <w:rsid w:val="00122A18"/>
    <w:rsid w:val="00124F6F"/>
    <w:rsid w:val="00125D96"/>
    <w:rsid w:val="001266F6"/>
    <w:rsid w:val="001302C5"/>
    <w:rsid w:val="00131D39"/>
    <w:rsid w:val="00133420"/>
    <w:rsid w:val="001338C4"/>
    <w:rsid w:val="00133942"/>
    <w:rsid w:val="0013412A"/>
    <w:rsid w:val="001348AE"/>
    <w:rsid w:val="001350AA"/>
    <w:rsid w:val="00140323"/>
    <w:rsid w:val="0014230B"/>
    <w:rsid w:val="001445EF"/>
    <w:rsid w:val="001452D3"/>
    <w:rsid w:val="001465C7"/>
    <w:rsid w:val="001473C7"/>
    <w:rsid w:val="00147EEA"/>
    <w:rsid w:val="00151C0F"/>
    <w:rsid w:val="00151D1B"/>
    <w:rsid w:val="00152841"/>
    <w:rsid w:val="001530F2"/>
    <w:rsid w:val="0015383D"/>
    <w:rsid w:val="00155380"/>
    <w:rsid w:val="00156DBB"/>
    <w:rsid w:val="00156E38"/>
    <w:rsid w:val="0015779F"/>
    <w:rsid w:val="00157C83"/>
    <w:rsid w:val="00157E5B"/>
    <w:rsid w:val="00157E5F"/>
    <w:rsid w:val="0016001A"/>
    <w:rsid w:val="001605F1"/>
    <w:rsid w:val="00161DC6"/>
    <w:rsid w:val="00162EBC"/>
    <w:rsid w:val="001642D3"/>
    <w:rsid w:val="0016442F"/>
    <w:rsid w:val="001659E3"/>
    <w:rsid w:val="001660DE"/>
    <w:rsid w:val="00170428"/>
    <w:rsid w:val="00174E6D"/>
    <w:rsid w:val="001772D4"/>
    <w:rsid w:val="0018264D"/>
    <w:rsid w:val="0018312A"/>
    <w:rsid w:val="00184171"/>
    <w:rsid w:val="0018658B"/>
    <w:rsid w:val="00186C03"/>
    <w:rsid w:val="00187822"/>
    <w:rsid w:val="00191562"/>
    <w:rsid w:val="001918FA"/>
    <w:rsid w:val="00191DD1"/>
    <w:rsid w:val="00192424"/>
    <w:rsid w:val="00192EB0"/>
    <w:rsid w:val="0019537A"/>
    <w:rsid w:val="00195525"/>
    <w:rsid w:val="00195768"/>
    <w:rsid w:val="0019748F"/>
    <w:rsid w:val="00197586"/>
    <w:rsid w:val="001A1D72"/>
    <w:rsid w:val="001A48E6"/>
    <w:rsid w:val="001A5628"/>
    <w:rsid w:val="001A6210"/>
    <w:rsid w:val="001A63F0"/>
    <w:rsid w:val="001A71FF"/>
    <w:rsid w:val="001B0630"/>
    <w:rsid w:val="001B06D9"/>
    <w:rsid w:val="001B1914"/>
    <w:rsid w:val="001B1E90"/>
    <w:rsid w:val="001B2701"/>
    <w:rsid w:val="001B3853"/>
    <w:rsid w:val="001B5CA8"/>
    <w:rsid w:val="001B6673"/>
    <w:rsid w:val="001B76C1"/>
    <w:rsid w:val="001C17EF"/>
    <w:rsid w:val="001C443E"/>
    <w:rsid w:val="001C4B1F"/>
    <w:rsid w:val="001C51BA"/>
    <w:rsid w:val="001C520D"/>
    <w:rsid w:val="001C5BFB"/>
    <w:rsid w:val="001C66F1"/>
    <w:rsid w:val="001C7460"/>
    <w:rsid w:val="001D3936"/>
    <w:rsid w:val="001D6194"/>
    <w:rsid w:val="001D6965"/>
    <w:rsid w:val="001D7F5C"/>
    <w:rsid w:val="001E1CA1"/>
    <w:rsid w:val="001E4979"/>
    <w:rsid w:val="001E4DE8"/>
    <w:rsid w:val="001E4F42"/>
    <w:rsid w:val="001E506B"/>
    <w:rsid w:val="001E50C8"/>
    <w:rsid w:val="001E52FB"/>
    <w:rsid w:val="001E62D7"/>
    <w:rsid w:val="001E78B7"/>
    <w:rsid w:val="001F042C"/>
    <w:rsid w:val="001F0A8A"/>
    <w:rsid w:val="001F3A11"/>
    <w:rsid w:val="001F3BCA"/>
    <w:rsid w:val="001F413A"/>
    <w:rsid w:val="001F4386"/>
    <w:rsid w:val="001F5131"/>
    <w:rsid w:val="001F5783"/>
    <w:rsid w:val="001F59E1"/>
    <w:rsid w:val="001F60B7"/>
    <w:rsid w:val="001F7F27"/>
    <w:rsid w:val="00201DC8"/>
    <w:rsid w:val="0020465D"/>
    <w:rsid w:val="00205FDD"/>
    <w:rsid w:val="00206432"/>
    <w:rsid w:val="00207B08"/>
    <w:rsid w:val="00207C9B"/>
    <w:rsid w:val="0021092C"/>
    <w:rsid w:val="002122C7"/>
    <w:rsid w:val="002162CC"/>
    <w:rsid w:val="002174B3"/>
    <w:rsid w:val="002178DF"/>
    <w:rsid w:val="00224CC3"/>
    <w:rsid w:val="00227861"/>
    <w:rsid w:val="00227DE1"/>
    <w:rsid w:val="0023019B"/>
    <w:rsid w:val="00230262"/>
    <w:rsid w:val="00230917"/>
    <w:rsid w:val="00233DAE"/>
    <w:rsid w:val="00234EB3"/>
    <w:rsid w:val="0023600D"/>
    <w:rsid w:val="002406B7"/>
    <w:rsid w:val="002415D0"/>
    <w:rsid w:val="00241948"/>
    <w:rsid w:val="00242512"/>
    <w:rsid w:val="002436DF"/>
    <w:rsid w:val="00243A4D"/>
    <w:rsid w:val="00245802"/>
    <w:rsid w:val="00247EC8"/>
    <w:rsid w:val="002505D9"/>
    <w:rsid w:val="00253320"/>
    <w:rsid w:val="00254E07"/>
    <w:rsid w:val="00255C8B"/>
    <w:rsid w:val="00256EE3"/>
    <w:rsid w:val="00261013"/>
    <w:rsid w:val="0026169A"/>
    <w:rsid w:val="00261DF1"/>
    <w:rsid w:val="002626BB"/>
    <w:rsid w:val="0026275F"/>
    <w:rsid w:val="00263F2C"/>
    <w:rsid w:val="00264646"/>
    <w:rsid w:val="00264691"/>
    <w:rsid w:val="002668A1"/>
    <w:rsid w:val="002701A2"/>
    <w:rsid w:val="00271347"/>
    <w:rsid w:val="00271D41"/>
    <w:rsid w:val="002725A9"/>
    <w:rsid w:val="00273F06"/>
    <w:rsid w:val="00277BFB"/>
    <w:rsid w:val="002800D4"/>
    <w:rsid w:val="00280A6E"/>
    <w:rsid w:val="00280CDD"/>
    <w:rsid w:val="00282750"/>
    <w:rsid w:val="0028414C"/>
    <w:rsid w:val="00285F88"/>
    <w:rsid w:val="00286A5D"/>
    <w:rsid w:val="00291029"/>
    <w:rsid w:val="00292098"/>
    <w:rsid w:val="00292E23"/>
    <w:rsid w:val="00293215"/>
    <w:rsid w:val="0029539D"/>
    <w:rsid w:val="00295BCF"/>
    <w:rsid w:val="0029657D"/>
    <w:rsid w:val="00296B1A"/>
    <w:rsid w:val="00297592"/>
    <w:rsid w:val="00297731"/>
    <w:rsid w:val="002977C8"/>
    <w:rsid w:val="00297BAE"/>
    <w:rsid w:val="002A0D05"/>
    <w:rsid w:val="002A1E68"/>
    <w:rsid w:val="002A212D"/>
    <w:rsid w:val="002A314F"/>
    <w:rsid w:val="002A44A1"/>
    <w:rsid w:val="002A4893"/>
    <w:rsid w:val="002A5701"/>
    <w:rsid w:val="002A591A"/>
    <w:rsid w:val="002A6353"/>
    <w:rsid w:val="002A6E4A"/>
    <w:rsid w:val="002B021F"/>
    <w:rsid w:val="002B0796"/>
    <w:rsid w:val="002B0A9D"/>
    <w:rsid w:val="002B0EDB"/>
    <w:rsid w:val="002B1265"/>
    <w:rsid w:val="002B4990"/>
    <w:rsid w:val="002B6343"/>
    <w:rsid w:val="002B6D43"/>
    <w:rsid w:val="002B79A6"/>
    <w:rsid w:val="002C048B"/>
    <w:rsid w:val="002C171D"/>
    <w:rsid w:val="002C17CC"/>
    <w:rsid w:val="002C1AFD"/>
    <w:rsid w:val="002C2390"/>
    <w:rsid w:val="002C2866"/>
    <w:rsid w:val="002C2BFE"/>
    <w:rsid w:val="002C2E6D"/>
    <w:rsid w:val="002C41A5"/>
    <w:rsid w:val="002C45CD"/>
    <w:rsid w:val="002C4A03"/>
    <w:rsid w:val="002C5CB1"/>
    <w:rsid w:val="002C6A4D"/>
    <w:rsid w:val="002D4B41"/>
    <w:rsid w:val="002D4EFA"/>
    <w:rsid w:val="002D5C46"/>
    <w:rsid w:val="002D6674"/>
    <w:rsid w:val="002E0D59"/>
    <w:rsid w:val="002E2290"/>
    <w:rsid w:val="002E32AF"/>
    <w:rsid w:val="002E5D2D"/>
    <w:rsid w:val="002E5EEB"/>
    <w:rsid w:val="002F11CE"/>
    <w:rsid w:val="002F12CD"/>
    <w:rsid w:val="002F14BB"/>
    <w:rsid w:val="002F2355"/>
    <w:rsid w:val="002F25FB"/>
    <w:rsid w:val="002F2C3A"/>
    <w:rsid w:val="002F3195"/>
    <w:rsid w:val="002F4631"/>
    <w:rsid w:val="002F4814"/>
    <w:rsid w:val="002F4A2C"/>
    <w:rsid w:val="002F514B"/>
    <w:rsid w:val="002F615F"/>
    <w:rsid w:val="002F7669"/>
    <w:rsid w:val="002F7B13"/>
    <w:rsid w:val="00300377"/>
    <w:rsid w:val="00300CF2"/>
    <w:rsid w:val="00304FBF"/>
    <w:rsid w:val="00305FBB"/>
    <w:rsid w:val="00306FEE"/>
    <w:rsid w:val="00310EFD"/>
    <w:rsid w:val="003118D5"/>
    <w:rsid w:val="0031208F"/>
    <w:rsid w:val="00312D61"/>
    <w:rsid w:val="003139CD"/>
    <w:rsid w:val="00313E07"/>
    <w:rsid w:val="00314713"/>
    <w:rsid w:val="00314DE3"/>
    <w:rsid w:val="003158E1"/>
    <w:rsid w:val="00317DAD"/>
    <w:rsid w:val="00320943"/>
    <w:rsid w:val="003245DE"/>
    <w:rsid w:val="00324C19"/>
    <w:rsid w:val="003253B7"/>
    <w:rsid w:val="003267A0"/>
    <w:rsid w:val="00327BE9"/>
    <w:rsid w:val="003306E7"/>
    <w:rsid w:val="0033189A"/>
    <w:rsid w:val="00331D98"/>
    <w:rsid w:val="00331FA6"/>
    <w:rsid w:val="00332055"/>
    <w:rsid w:val="00333582"/>
    <w:rsid w:val="00333B64"/>
    <w:rsid w:val="003357A0"/>
    <w:rsid w:val="00335F58"/>
    <w:rsid w:val="00336C4F"/>
    <w:rsid w:val="00337991"/>
    <w:rsid w:val="00340461"/>
    <w:rsid w:val="00341014"/>
    <w:rsid w:val="00341368"/>
    <w:rsid w:val="0034186A"/>
    <w:rsid w:val="00341F2E"/>
    <w:rsid w:val="00342947"/>
    <w:rsid w:val="00343464"/>
    <w:rsid w:val="00344204"/>
    <w:rsid w:val="00344E28"/>
    <w:rsid w:val="003460DC"/>
    <w:rsid w:val="00347881"/>
    <w:rsid w:val="00350252"/>
    <w:rsid w:val="003513AC"/>
    <w:rsid w:val="00352492"/>
    <w:rsid w:val="00356810"/>
    <w:rsid w:val="00356F97"/>
    <w:rsid w:val="003575D5"/>
    <w:rsid w:val="00357828"/>
    <w:rsid w:val="00360330"/>
    <w:rsid w:val="003618A8"/>
    <w:rsid w:val="003628C3"/>
    <w:rsid w:val="003640DE"/>
    <w:rsid w:val="0036534D"/>
    <w:rsid w:val="003667A6"/>
    <w:rsid w:val="00370C72"/>
    <w:rsid w:val="003720E2"/>
    <w:rsid w:val="00373EB0"/>
    <w:rsid w:val="00374A38"/>
    <w:rsid w:val="003807D6"/>
    <w:rsid w:val="0038141D"/>
    <w:rsid w:val="00381870"/>
    <w:rsid w:val="00381E58"/>
    <w:rsid w:val="003820C6"/>
    <w:rsid w:val="00382AB1"/>
    <w:rsid w:val="00382F56"/>
    <w:rsid w:val="00383003"/>
    <w:rsid w:val="00385925"/>
    <w:rsid w:val="00386634"/>
    <w:rsid w:val="003868A8"/>
    <w:rsid w:val="00386C63"/>
    <w:rsid w:val="0038761B"/>
    <w:rsid w:val="00387EB5"/>
    <w:rsid w:val="003908A1"/>
    <w:rsid w:val="003912F8"/>
    <w:rsid w:val="0039420A"/>
    <w:rsid w:val="00395EB7"/>
    <w:rsid w:val="0039757F"/>
    <w:rsid w:val="003A1A05"/>
    <w:rsid w:val="003A1C69"/>
    <w:rsid w:val="003A4E46"/>
    <w:rsid w:val="003A6D6F"/>
    <w:rsid w:val="003A7248"/>
    <w:rsid w:val="003A7EC8"/>
    <w:rsid w:val="003B07F0"/>
    <w:rsid w:val="003B3271"/>
    <w:rsid w:val="003B46FC"/>
    <w:rsid w:val="003B4F12"/>
    <w:rsid w:val="003B6AF8"/>
    <w:rsid w:val="003B6BAC"/>
    <w:rsid w:val="003B6E2F"/>
    <w:rsid w:val="003B6F3A"/>
    <w:rsid w:val="003B7125"/>
    <w:rsid w:val="003B7C2B"/>
    <w:rsid w:val="003C0980"/>
    <w:rsid w:val="003C1B00"/>
    <w:rsid w:val="003C3964"/>
    <w:rsid w:val="003D0CAF"/>
    <w:rsid w:val="003D20C8"/>
    <w:rsid w:val="003D2A30"/>
    <w:rsid w:val="003D44DC"/>
    <w:rsid w:val="003D4C72"/>
    <w:rsid w:val="003D65B2"/>
    <w:rsid w:val="003D7DE6"/>
    <w:rsid w:val="003E0B0A"/>
    <w:rsid w:val="003E3E6F"/>
    <w:rsid w:val="003F022F"/>
    <w:rsid w:val="003F313F"/>
    <w:rsid w:val="003F4105"/>
    <w:rsid w:val="003F50CA"/>
    <w:rsid w:val="003F5E0E"/>
    <w:rsid w:val="003F62B0"/>
    <w:rsid w:val="003F67FB"/>
    <w:rsid w:val="00400708"/>
    <w:rsid w:val="00400A18"/>
    <w:rsid w:val="00402AE1"/>
    <w:rsid w:val="0040343E"/>
    <w:rsid w:val="004041EC"/>
    <w:rsid w:val="00404C58"/>
    <w:rsid w:val="00405A15"/>
    <w:rsid w:val="004129DC"/>
    <w:rsid w:val="004147E5"/>
    <w:rsid w:val="004149AA"/>
    <w:rsid w:val="0041510A"/>
    <w:rsid w:val="00415474"/>
    <w:rsid w:val="004169BA"/>
    <w:rsid w:val="004169DA"/>
    <w:rsid w:val="00417CE3"/>
    <w:rsid w:val="00424634"/>
    <w:rsid w:val="00424F09"/>
    <w:rsid w:val="00426530"/>
    <w:rsid w:val="004266C6"/>
    <w:rsid w:val="004276DA"/>
    <w:rsid w:val="0043162C"/>
    <w:rsid w:val="00434BAE"/>
    <w:rsid w:val="00435085"/>
    <w:rsid w:val="00436239"/>
    <w:rsid w:val="004364CE"/>
    <w:rsid w:val="00441E74"/>
    <w:rsid w:val="00442716"/>
    <w:rsid w:val="00444066"/>
    <w:rsid w:val="0044598F"/>
    <w:rsid w:val="00445F06"/>
    <w:rsid w:val="004463C4"/>
    <w:rsid w:val="00450574"/>
    <w:rsid w:val="004518EB"/>
    <w:rsid w:val="00452393"/>
    <w:rsid w:val="00453234"/>
    <w:rsid w:val="00453DDE"/>
    <w:rsid w:val="004543AD"/>
    <w:rsid w:val="0045751C"/>
    <w:rsid w:val="004576A6"/>
    <w:rsid w:val="004615A6"/>
    <w:rsid w:val="0046476E"/>
    <w:rsid w:val="00464EB1"/>
    <w:rsid w:val="00466C61"/>
    <w:rsid w:val="00467F1C"/>
    <w:rsid w:val="004701AF"/>
    <w:rsid w:val="004701D3"/>
    <w:rsid w:val="0047077A"/>
    <w:rsid w:val="00471541"/>
    <w:rsid w:val="00471F2F"/>
    <w:rsid w:val="00472C53"/>
    <w:rsid w:val="0047629C"/>
    <w:rsid w:val="00476954"/>
    <w:rsid w:val="00477810"/>
    <w:rsid w:val="004815C3"/>
    <w:rsid w:val="00481B50"/>
    <w:rsid w:val="00483C6F"/>
    <w:rsid w:val="00484876"/>
    <w:rsid w:val="00486EFB"/>
    <w:rsid w:val="004875D7"/>
    <w:rsid w:val="0049065F"/>
    <w:rsid w:val="00490DED"/>
    <w:rsid w:val="0049153C"/>
    <w:rsid w:val="00493AF7"/>
    <w:rsid w:val="00495172"/>
    <w:rsid w:val="004A174F"/>
    <w:rsid w:val="004A48CC"/>
    <w:rsid w:val="004A52E8"/>
    <w:rsid w:val="004A58AA"/>
    <w:rsid w:val="004A6162"/>
    <w:rsid w:val="004B0B12"/>
    <w:rsid w:val="004B219D"/>
    <w:rsid w:val="004B2B75"/>
    <w:rsid w:val="004B38F0"/>
    <w:rsid w:val="004B4A7C"/>
    <w:rsid w:val="004B4D82"/>
    <w:rsid w:val="004B72C3"/>
    <w:rsid w:val="004B7491"/>
    <w:rsid w:val="004C0BD7"/>
    <w:rsid w:val="004C51B6"/>
    <w:rsid w:val="004C5438"/>
    <w:rsid w:val="004C57C3"/>
    <w:rsid w:val="004C5D6E"/>
    <w:rsid w:val="004C6600"/>
    <w:rsid w:val="004C76BE"/>
    <w:rsid w:val="004C79E2"/>
    <w:rsid w:val="004D1D94"/>
    <w:rsid w:val="004D2362"/>
    <w:rsid w:val="004D2597"/>
    <w:rsid w:val="004D270D"/>
    <w:rsid w:val="004D3A08"/>
    <w:rsid w:val="004D574B"/>
    <w:rsid w:val="004D7357"/>
    <w:rsid w:val="004D7821"/>
    <w:rsid w:val="004D7855"/>
    <w:rsid w:val="004E1117"/>
    <w:rsid w:val="004E410C"/>
    <w:rsid w:val="004E4B1E"/>
    <w:rsid w:val="004E69F2"/>
    <w:rsid w:val="004E7FAC"/>
    <w:rsid w:val="004F0C58"/>
    <w:rsid w:val="004F169B"/>
    <w:rsid w:val="004F24D1"/>
    <w:rsid w:val="004F4C6B"/>
    <w:rsid w:val="004F653F"/>
    <w:rsid w:val="00500C49"/>
    <w:rsid w:val="0050699C"/>
    <w:rsid w:val="005069EA"/>
    <w:rsid w:val="005073CD"/>
    <w:rsid w:val="00507707"/>
    <w:rsid w:val="00510FBB"/>
    <w:rsid w:val="00511083"/>
    <w:rsid w:val="00511B9D"/>
    <w:rsid w:val="00514483"/>
    <w:rsid w:val="00515F3A"/>
    <w:rsid w:val="00517153"/>
    <w:rsid w:val="00520B0C"/>
    <w:rsid w:val="00521291"/>
    <w:rsid w:val="00521B1E"/>
    <w:rsid w:val="0052238C"/>
    <w:rsid w:val="005232AD"/>
    <w:rsid w:val="00523E13"/>
    <w:rsid w:val="00524695"/>
    <w:rsid w:val="005248A3"/>
    <w:rsid w:val="00525924"/>
    <w:rsid w:val="00527991"/>
    <w:rsid w:val="00527E17"/>
    <w:rsid w:val="0053284F"/>
    <w:rsid w:val="0053361C"/>
    <w:rsid w:val="005343C0"/>
    <w:rsid w:val="00542823"/>
    <w:rsid w:val="005433A1"/>
    <w:rsid w:val="00544B0B"/>
    <w:rsid w:val="00544C9C"/>
    <w:rsid w:val="005458A9"/>
    <w:rsid w:val="00545AEC"/>
    <w:rsid w:val="0054678E"/>
    <w:rsid w:val="00550D55"/>
    <w:rsid w:val="0055310C"/>
    <w:rsid w:val="005534F6"/>
    <w:rsid w:val="00553FB8"/>
    <w:rsid w:val="005541B1"/>
    <w:rsid w:val="00556415"/>
    <w:rsid w:val="00557B6D"/>
    <w:rsid w:val="005613AE"/>
    <w:rsid w:val="00562D85"/>
    <w:rsid w:val="005634B5"/>
    <w:rsid w:val="00563873"/>
    <w:rsid w:val="00563DCD"/>
    <w:rsid w:val="00565A0C"/>
    <w:rsid w:val="0056698B"/>
    <w:rsid w:val="00567DA1"/>
    <w:rsid w:val="00570EEA"/>
    <w:rsid w:val="00571C8B"/>
    <w:rsid w:val="00572A91"/>
    <w:rsid w:val="005738AC"/>
    <w:rsid w:val="005738B3"/>
    <w:rsid w:val="005748F2"/>
    <w:rsid w:val="0057788A"/>
    <w:rsid w:val="00577981"/>
    <w:rsid w:val="00580C2F"/>
    <w:rsid w:val="00583522"/>
    <w:rsid w:val="00583EA0"/>
    <w:rsid w:val="005850DB"/>
    <w:rsid w:val="00586063"/>
    <w:rsid w:val="005902D6"/>
    <w:rsid w:val="0059243B"/>
    <w:rsid w:val="005958EA"/>
    <w:rsid w:val="005A0F1D"/>
    <w:rsid w:val="005A2634"/>
    <w:rsid w:val="005A68C4"/>
    <w:rsid w:val="005A7026"/>
    <w:rsid w:val="005B19D6"/>
    <w:rsid w:val="005B1F35"/>
    <w:rsid w:val="005B2C8A"/>
    <w:rsid w:val="005B3D48"/>
    <w:rsid w:val="005B6A65"/>
    <w:rsid w:val="005B7B76"/>
    <w:rsid w:val="005C1F61"/>
    <w:rsid w:val="005C384A"/>
    <w:rsid w:val="005C39B2"/>
    <w:rsid w:val="005C6894"/>
    <w:rsid w:val="005D15C8"/>
    <w:rsid w:val="005D2880"/>
    <w:rsid w:val="005D37B0"/>
    <w:rsid w:val="005D471C"/>
    <w:rsid w:val="005D6B10"/>
    <w:rsid w:val="005E0F4E"/>
    <w:rsid w:val="005E1556"/>
    <w:rsid w:val="005E1BEC"/>
    <w:rsid w:val="005E1F1F"/>
    <w:rsid w:val="005E2647"/>
    <w:rsid w:val="005E2B71"/>
    <w:rsid w:val="005E2D90"/>
    <w:rsid w:val="005E3EB7"/>
    <w:rsid w:val="005E40F9"/>
    <w:rsid w:val="005E4381"/>
    <w:rsid w:val="005E4D62"/>
    <w:rsid w:val="005F003F"/>
    <w:rsid w:val="005F41B0"/>
    <w:rsid w:val="005F41D9"/>
    <w:rsid w:val="005F564B"/>
    <w:rsid w:val="0060325A"/>
    <w:rsid w:val="0060563D"/>
    <w:rsid w:val="006102B0"/>
    <w:rsid w:val="00610F17"/>
    <w:rsid w:val="006115D7"/>
    <w:rsid w:val="00615205"/>
    <w:rsid w:val="00616849"/>
    <w:rsid w:val="00620905"/>
    <w:rsid w:val="00621545"/>
    <w:rsid w:val="00623920"/>
    <w:rsid w:val="00626201"/>
    <w:rsid w:val="00627E72"/>
    <w:rsid w:val="00630C44"/>
    <w:rsid w:val="006315FA"/>
    <w:rsid w:val="006316E1"/>
    <w:rsid w:val="00633161"/>
    <w:rsid w:val="00633BA5"/>
    <w:rsid w:val="006353F1"/>
    <w:rsid w:val="0063649B"/>
    <w:rsid w:val="00640456"/>
    <w:rsid w:val="00643776"/>
    <w:rsid w:val="006458FE"/>
    <w:rsid w:val="00645991"/>
    <w:rsid w:val="00646178"/>
    <w:rsid w:val="00647D83"/>
    <w:rsid w:val="0065125D"/>
    <w:rsid w:val="006523E2"/>
    <w:rsid w:val="00652820"/>
    <w:rsid w:val="00652CBE"/>
    <w:rsid w:val="006532D7"/>
    <w:rsid w:val="00654564"/>
    <w:rsid w:val="00660CCC"/>
    <w:rsid w:val="006623C6"/>
    <w:rsid w:val="00664F0D"/>
    <w:rsid w:val="00667DD9"/>
    <w:rsid w:val="00673EF4"/>
    <w:rsid w:val="006765FF"/>
    <w:rsid w:val="00676683"/>
    <w:rsid w:val="00681B88"/>
    <w:rsid w:val="006844AB"/>
    <w:rsid w:val="0068477C"/>
    <w:rsid w:val="006861D7"/>
    <w:rsid w:val="00686363"/>
    <w:rsid w:val="00687FE6"/>
    <w:rsid w:val="0069161C"/>
    <w:rsid w:val="00691C14"/>
    <w:rsid w:val="006940D7"/>
    <w:rsid w:val="00694B77"/>
    <w:rsid w:val="00695B4A"/>
    <w:rsid w:val="00696BD0"/>
    <w:rsid w:val="006A0CFF"/>
    <w:rsid w:val="006A223D"/>
    <w:rsid w:val="006A44EC"/>
    <w:rsid w:val="006A4C65"/>
    <w:rsid w:val="006A528A"/>
    <w:rsid w:val="006A7BAC"/>
    <w:rsid w:val="006B2C4F"/>
    <w:rsid w:val="006B4E53"/>
    <w:rsid w:val="006C1785"/>
    <w:rsid w:val="006C428A"/>
    <w:rsid w:val="006C4F2B"/>
    <w:rsid w:val="006C52BD"/>
    <w:rsid w:val="006C5E41"/>
    <w:rsid w:val="006C5EA8"/>
    <w:rsid w:val="006C6051"/>
    <w:rsid w:val="006C779D"/>
    <w:rsid w:val="006D0A26"/>
    <w:rsid w:val="006D27A0"/>
    <w:rsid w:val="006D3B4A"/>
    <w:rsid w:val="006D3C4B"/>
    <w:rsid w:val="006D6781"/>
    <w:rsid w:val="006E0DE0"/>
    <w:rsid w:val="006E19EF"/>
    <w:rsid w:val="006E4AFB"/>
    <w:rsid w:val="006E4F0A"/>
    <w:rsid w:val="006E57D3"/>
    <w:rsid w:val="006E70A4"/>
    <w:rsid w:val="006F0470"/>
    <w:rsid w:val="006F1CF7"/>
    <w:rsid w:val="006F569F"/>
    <w:rsid w:val="006F5F46"/>
    <w:rsid w:val="006F638C"/>
    <w:rsid w:val="007010F0"/>
    <w:rsid w:val="00703B21"/>
    <w:rsid w:val="00703FD5"/>
    <w:rsid w:val="007058AC"/>
    <w:rsid w:val="00705987"/>
    <w:rsid w:val="00706E16"/>
    <w:rsid w:val="00707445"/>
    <w:rsid w:val="00707B7C"/>
    <w:rsid w:val="00707C06"/>
    <w:rsid w:val="007129E1"/>
    <w:rsid w:val="00714166"/>
    <w:rsid w:val="00714744"/>
    <w:rsid w:val="007151EE"/>
    <w:rsid w:val="00715363"/>
    <w:rsid w:val="007201A5"/>
    <w:rsid w:val="00723127"/>
    <w:rsid w:val="00723AAE"/>
    <w:rsid w:val="00724F67"/>
    <w:rsid w:val="007254A5"/>
    <w:rsid w:val="00725E5C"/>
    <w:rsid w:val="007306C3"/>
    <w:rsid w:val="007346F7"/>
    <w:rsid w:val="00734FF5"/>
    <w:rsid w:val="00734FFC"/>
    <w:rsid w:val="00737324"/>
    <w:rsid w:val="007373FD"/>
    <w:rsid w:val="007407C6"/>
    <w:rsid w:val="007413D5"/>
    <w:rsid w:val="00741814"/>
    <w:rsid w:val="00741E11"/>
    <w:rsid w:val="00741E27"/>
    <w:rsid w:val="00741FF5"/>
    <w:rsid w:val="00743964"/>
    <w:rsid w:val="00744F4A"/>
    <w:rsid w:val="0074565D"/>
    <w:rsid w:val="00745927"/>
    <w:rsid w:val="0074673A"/>
    <w:rsid w:val="007469E0"/>
    <w:rsid w:val="007504E0"/>
    <w:rsid w:val="007513AD"/>
    <w:rsid w:val="0075169F"/>
    <w:rsid w:val="00751B30"/>
    <w:rsid w:val="007552CA"/>
    <w:rsid w:val="00755EC3"/>
    <w:rsid w:val="007565C7"/>
    <w:rsid w:val="00756E75"/>
    <w:rsid w:val="00756F54"/>
    <w:rsid w:val="00761D9A"/>
    <w:rsid w:val="00762C27"/>
    <w:rsid w:val="00763F0D"/>
    <w:rsid w:val="00765227"/>
    <w:rsid w:val="007658C6"/>
    <w:rsid w:val="00767165"/>
    <w:rsid w:val="007711BA"/>
    <w:rsid w:val="00771805"/>
    <w:rsid w:val="00771DAB"/>
    <w:rsid w:val="0078045A"/>
    <w:rsid w:val="00782E14"/>
    <w:rsid w:val="007832C5"/>
    <w:rsid w:val="0078414A"/>
    <w:rsid w:val="00784905"/>
    <w:rsid w:val="00784AE9"/>
    <w:rsid w:val="00787479"/>
    <w:rsid w:val="007929CC"/>
    <w:rsid w:val="00793917"/>
    <w:rsid w:val="007948D8"/>
    <w:rsid w:val="0079508F"/>
    <w:rsid w:val="0079603A"/>
    <w:rsid w:val="007A1480"/>
    <w:rsid w:val="007A1B2A"/>
    <w:rsid w:val="007A2FBE"/>
    <w:rsid w:val="007A50CC"/>
    <w:rsid w:val="007A59C4"/>
    <w:rsid w:val="007A5FFF"/>
    <w:rsid w:val="007A6484"/>
    <w:rsid w:val="007A7E4D"/>
    <w:rsid w:val="007B01C3"/>
    <w:rsid w:val="007B0C8E"/>
    <w:rsid w:val="007B113F"/>
    <w:rsid w:val="007B17E8"/>
    <w:rsid w:val="007B38E5"/>
    <w:rsid w:val="007B4B4B"/>
    <w:rsid w:val="007B5584"/>
    <w:rsid w:val="007B6FDC"/>
    <w:rsid w:val="007C4357"/>
    <w:rsid w:val="007C58F5"/>
    <w:rsid w:val="007C768F"/>
    <w:rsid w:val="007D1C78"/>
    <w:rsid w:val="007D2247"/>
    <w:rsid w:val="007D2331"/>
    <w:rsid w:val="007D2867"/>
    <w:rsid w:val="007D2904"/>
    <w:rsid w:val="007D2E97"/>
    <w:rsid w:val="007D2F83"/>
    <w:rsid w:val="007D4A6A"/>
    <w:rsid w:val="007D6D3E"/>
    <w:rsid w:val="007D709E"/>
    <w:rsid w:val="007D7155"/>
    <w:rsid w:val="007E063B"/>
    <w:rsid w:val="007E0EC8"/>
    <w:rsid w:val="007E188A"/>
    <w:rsid w:val="007E2D0D"/>
    <w:rsid w:val="007E2DB6"/>
    <w:rsid w:val="007E427B"/>
    <w:rsid w:val="007E637E"/>
    <w:rsid w:val="007E76E9"/>
    <w:rsid w:val="007E7A8E"/>
    <w:rsid w:val="007F13BC"/>
    <w:rsid w:val="007F25AD"/>
    <w:rsid w:val="007F287C"/>
    <w:rsid w:val="007F2FB5"/>
    <w:rsid w:val="007F4226"/>
    <w:rsid w:val="007F499F"/>
    <w:rsid w:val="007F6369"/>
    <w:rsid w:val="007F7ECE"/>
    <w:rsid w:val="0080012C"/>
    <w:rsid w:val="008004A0"/>
    <w:rsid w:val="00800EEA"/>
    <w:rsid w:val="0080227E"/>
    <w:rsid w:val="0080270B"/>
    <w:rsid w:val="0080277C"/>
    <w:rsid w:val="008034C6"/>
    <w:rsid w:val="00804312"/>
    <w:rsid w:val="00806CC4"/>
    <w:rsid w:val="008131B4"/>
    <w:rsid w:val="00813207"/>
    <w:rsid w:val="0081401D"/>
    <w:rsid w:val="00814844"/>
    <w:rsid w:val="00814FDF"/>
    <w:rsid w:val="00815BE8"/>
    <w:rsid w:val="008209D5"/>
    <w:rsid w:val="00821E8D"/>
    <w:rsid w:val="008232F1"/>
    <w:rsid w:val="00824071"/>
    <w:rsid w:val="00830724"/>
    <w:rsid w:val="00830E3C"/>
    <w:rsid w:val="0083160A"/>
    <w:rsid w:val="00831C34"/>
    <w:rsid w:val="00832538"/>
    <w:rsid w:val="00833C36"/>
    <w:rsid w:val="00837749"/>
    <w:rsid w:val="0084090E"/>
    <w:rsid w:val="008413F2"/>
    <w:rsid w:val="00841444"/>
    <w:rsid w:val="0084425C"/>
    <w:rsid w:val="00845441"/>
    <w:rsid w:val="00845976"/>
    <w:rsid w:val="00846344"/>
    <w:rsid w:val="0084731D"/>
    <w:rsid w:val="00847B9B"/>
    <w:rsid w:val="00850271"/>
    <w:rsid w:val="00851391"/>
    <w:rsid w:val="0085235C"/>
    <w:rsid w:val="00852A27"/>
    <w:rsid w:val="00852F8E"/>
    <w:rsid w:val="008559CF"/>
    <w:rsid w:val="00856581"/>
    <w:rsid w:val="00860648"/>
    <w:rsid w:val="008613B6"/>
    <w:rsid w:val="00862168"/>
    <w:rsid w:val="00871A99"/>
    <w:rsid w:val="008738CE"/>
    <w:rsid w:val="00875210"/>
    <w:rsid w:val="008757B0"/>
    <w:rsid w:val="00875BA1"/>
    <w:rsid w:val="008763C0"/>
    <w:rsid w:val="008769D7"/>
    <w:rsid w:val="00876EC1"/>
    <w:rsid w:val="00880C39"/>
    <w:rsid w:val="0088298D"/>
    <w:rsid w:val="00882F74"/>
    <w:rsid w:val="0088484F"/>
    <w:rsid w:val="00884A28"/>
    <w:rsid w:val="00884CB1"/>
    <w:rsid w:val="0089103D"/>
    <w:rsid w:val="00892147"/>
    <w:rsid w:val="008921F3"/>
    <w:rsid w:val="00892FF0"/>
    <w:rsid w:val="0089346C"/>
    <w:rsid w:val="008961B5"/>
    <w:rsid w:val="0089708F"/>
    <w:rsid w:val="00897FA0"/>
    <w:rsid w:val="008A1230"/>
    <w:rsid w:val="008A17AB"/>
    <w:rsid w:val="008A1EDC"/>
    <w:rsid w:val="008A2F2C"/>
    <w:rsid w:val="008A5944"/>
    <w:rsid w:val="008A5FD0"/>
    <w:rsid w:val="008A609E"/>
    <w:rsid w:val="008A64B6"/>
    <w:rsid w:val="008A7150"/>
    <w:rsid w:val="008B03CB"/>
    <w:rsid w:val="008B08DC"/>
    <w:rsid w:val="008B0A98"/>
    <w:rsid w:val="008B12E5"/>
    <w:rsid w:val="008B1BF2"/>
    <w:rsid w:val="008B25BB"/>
    <w:rsid w:val="008B3E2F"/>
    <w:rsid w:val="008B4AB9"/>
    <w:rsid w:val="008B507D"/>
    <w:rsid w:val="008B5264"/>
    <w:rsid w:val="008B5D4D"/>
    <w:rsid w:val="008B7D8A"/>
    <w:rsid w:val="008C1029"/>
    <w:rsid w:val="008C33BF"/>
    <w:rsid w:val="008C3A0B"/>
    <w:rsid w:val="008C402E"/>
    <w:rsid w:val="008C40DC"/>
    <w:rsid w:val="008C52A8"/>
    <w:rsid w:val="008C5B5C"/>
    <w:rsid w:val="008D3645"/>
    <w:rsid w:val="008D49F4"/>
    <w:rsid w:val="008D507C"/>
    <w:rsid w:val="008D5DBC"/>
    <w:rsid w:val="008D768B"/>
    <w:rsid w:val="008D7F49"/>
    <w:rsid w:val="008E0625"/>
    <w:rsid w:val="008E19B3"/>
    <w:rsid w:val="008E3A21"/>
    <w:rsid w:val="008E3E76"/>
    <w:rsid w:val="008E757A"/>
    <w:rsid w:val="008F1119"/>
    <w:rsid w:val="008F120A"/>
    <w:rsid w:val="008F1634"/>
    <w:rsid w:val="008F1FA4"/>
    <w:rsid w:val="008F219F"/>
    <w:rsid w:val="008F59E7"/>
    <w:rsid w:val="008F60B3"/>
    <w:rsid w:val="008F7397"/>
    <w:rsid w:val="00900296"/>
    <w:rsid w:val="00900665"/>
    <w:rsid w:val="00900B31"/>
    <w:rsid w:val="00901E14"/>
    <w:rsid w:val="009044C9"/>
    <w:rsid w:val="00907062"/>
    <w:rsid w:val="00907C4B"/>
    <w:rsid w:val="00913DD7"/>
    <w:rsid w:val="009153C1"/>
    <w:rsid w:val="00915A4C"/>
    <w:rsid w:val="009165D9"/>
    <w:rsid w:val="009169FE"/>
    <w:rsid w:val="00917F9C"/>
    <w:rsid w:val="00917FCB"/>
    <w:rsid w:val="00920F24"/>
    <w:rsid w:val="0092126C"/>
    <w:rsid w:val="0092299D"/>
    <w:rsid w:val="0092401C"/>
    <w:rsid w:val="009240C3"/>
    <w:rsid w:val="00930C4D"/>
    <w:rsid w:val="009337EC"/>
    <w:rsid w:val="009346C5"/>
    <w:rsid w:val="009349D5"/>
    <w:rsid w:val="00934F53"/>
    <w:rsid w:val="00935BFC"/>
    <w:rsid w:val="00937219"/>
    <w:rsid w:val="00937C8F"/>
    <w:rsid w:val="00940D98"/>
    <w:rsid w:val="00942149"/>
    <w:rsid w:val="009426B7"/>
    <w:rsid w:val="0094724C"/>
    <w:rsid w:val="00947912"/>
    <w:rsid w:val="0094799A"/>
    <w:rsid w:val="009501CC"/>
    <w:rsid w:val="00950CDE"/>
    <w:rsid w:val="00952165"/>
    <w:rsid w:val="009525E6"/>
    <w:rsid w:val="00952D05"/>
    <w:rsid w:val="00953B75"/>
    <w:rsid w:val="00954850"/>
    <w:rsid w:val="009551C7"/>
    <w:rsid w:val="0095641A"/>
    <w:rsid w:val="00956B0B"/>
    <w:rsid w:val="00956E6C"/>
    <w:rsid w:val="00957BB3"/>
    <w:rsid w:val="00962325"/>
    <w:rsid w:val="00963483"/>
    <w:rsid w:val="00963D76"/>
    <w:rsid w:val="0096459B"/>
    <w:rsid w:val="0096511B"/>
    <w:rsid w:val="00965B0E"/>
    <w:rsid w:val="00965FD6"/>
    <w:rsid w:val="0097053B"/>
    <w:rsid w:val="009741C9"/>
    <w:rsid w:val="00977AA9"/>
    <w:rsid w:val="009802AA"/>
    <w:rsid w:val="00980FA1"/>
    <w:rsid w:val="00982BBB"/>
    <w:rsid w:val="00983B83"/>
    <w:rsid w:val="0098426F"/>
    <w:rsid w:val="009852B7"/>
    <w:rsid w:val="00985F24"/>
    <w:rsid w:val="0098653C"/>
    <w:rsid w:val="009909B5"/>
    <w:rsid w:val="00991866"/>
    <w:rsid w:val="00991DD2"/>
    <w:rsid w:val="00992118"/>
    <w:rsid w:val="00993DF1"/>
    <w:rsid w:val="00993E09"/>
    <w:rsid w:val="00993FCD"/>
    <w:rsid w:val="00995BEF"/>
    <w:rsid w:val="00996D7B"/>
    <w:rsid w:val="0099701F"/>
    <w:rsid w:val="00997998"/>
    <w:rsid w:val="009A0EC0"/>
    <w:rsid w:val="009A1035"/>
    <w:rsid w:val="009A1559"/>
    <w:rsid w:val="009A4BEF"/>
    <w:rsid w:val="009A5B59"/>
    <w:rsid w:val="009A6345"/>
    <w:rsid w:val="009B0E42"/>
    <w:rsid w:val="009B0E9E"/>
    <w:rsid w:val="009B55AB"/>
    <w:rsid w:val="009B56A4"/>
    <w:rsid w:val="009B6B10"/>
    <w:rsid w:val="009C0A46"/>
    <w:rsid w:val="009C2418"/>
    <w:rsid w:val="009C3720"/>
    <w:rsid w:val="009C39D8"/>
    <w:rsid w:val="009C5D48"/>
    <w:rsid w:val="009C6BE2"/>
    <w:rsid w:val="009D12E6"/>
    <w:rsid w:val="009D2B26"/>
    <w:rsid w:val="009D3650"/>
    <w:rsid w:val="009D3656"/>
    <w:rsid w:val="009D4268"/>
    <w:rsid w:val="009D7FE1"/>
    <w:rsid w:val="009E0683"/>
    <w:rsid w:val="009E0D51"/>
    <w:rsid w:val="009E0FA3"/>
    <w:rsid w:val="009E2571"/>
    <w:rsid w:val="009E30DD"/>
    <w:rsid w:val="009E3535"/>
    <w:rsid w:val="009E5094"/>
    <w:rsid w:val="009E55A2"/>
    <w:rsid w:val="009E56F9"/>
    <w:rsid w:val="009E58FC"/>
    <w:rsid w:val="009E747C"/>
    <w:rsid w:val="009E7E02"/>
    <w:rsid w:val="009F297D"/>
    <w:rsid w:val="009F39A3"/>
    <w:rsid w:val="00A00A54"/>
    <w:rsid w:val="00A00DC1"/>
    <w:rsid w:val="00A01B51"/>
    <w:rsid w:val="00A034CF"/>
    <w:rsid w:val="00A05B09"/>
    <w:rsid w:val="00A062BE"/>
    <w:rsid w:val="00A064DD"/>
    <w:rsid w:val="00A109A5"/>
    <w:rsid w:val="00A12F02"/>
    <w:rsid w:val="00A1327C"/>
    <w:rsid w:val="00A13F37"/>
    <w:rsid w:val="00A1538D"/>
    <w:rsid w:val="00A15870"/>
    <w:rsid w:val="00A15CCD"/>
    <w:rsid w:val="00A16D68"/>
    <w:rsid w:val="00A1733A"/>
    <w:rsid w:val="00A17635"/>
    <w:rsid w:val="00A2110B"/>
    <w:rsid w:val="00A223BE"/>
    <w:rsid w:val="00A234D3"/>
    <w:rsid w:val="00A24C9D"/>
    <w:rsid w:val="00A24CCC"/>
    <w:rsid w:val="00A27879"/>
    <w:rsid w:val="00A30994"/>
    <w:rsid w:val="00A30B42"/>
    <w:rsid w:val="00A317D0"/>
    <w:rsid w:val="00A352E9"/>
    <w:rsid w:val="00A35D44"/>
    <w:rsid w:val="00A3746F"/>
    <w:rsid w:val="00A37894"/>
    <w:rsid w:val="00A4068E"/>
    <w:rsid w:val="00A4213C"/>
    <w:rsid w:val="00A42B38"/>
    <w:rsid w:val="00A4366B"/>
    <w:rsid w:val="00A436A9"/>
    <w:rsid w:val="00A463B6"/>
    <w:rsid w:val="00A5069D"/>
    <w:rsid w:val="00A514F3"/>
    <w:rsid w:val="00A55EEB"/>
    <w:rsid w:val="00A64E4D"/>
    <w:rsid w:val="00A709E7"/>
    <w:rsid w:val="00A71810"/>
    <w:rsid w:val="00A7198F"/>
    <w:rsid w:val="00A72019"/>
    <w:rsid w:val="00A73EBE"/>
    <w:rsid w:val="00A77BDE"/>
    <w:rsid w:val="00A813C8"/>
    <w:rsid w:val="00A829D7"/>
    <w:rsid w:val="00A82FCA"/>
    <w:rsid w:val="00A8357A"/>
    <w:rsid w:val="00A84822"/>
    <w:rsid w:val="00A85901"/>
    <w:rsid w:val="00A86C9C"/>
    <w:rsid w:val="00A870F6"/>
    <w:rsid w:val="00A876F0"/>
    <w:rsid w:val="00A90A26"/>
    <w:rsid w:val="00A94C51"/>
    <w:rsid w:val="00A96885"/>
    <w:rsid w:val="00A96E68"/>
    <w:rsid w:val="00AA1736"/>
    <w:rsid w:val="00AA236E"/>
    <w:rsid w:val="00AA29DF"/>
    <w:rsid w:val="00AA311C"/>
    <w:rsid w:val="00AA3CB0"/>
    <w:rsid w:val="00AA5289"/>
    <w:rsid w:val="00AA54F2"/>
    <w:rsid w:val="00AA5920"/>
    <w:rsid w:val="00AA5A96"/>
    <w:rsid w:val="00AA606B"/>
    <w:rsid w:val="00AA6CFB"/>
    <w:rsid w:val="00AB0651"/>
    <w:rsid w:val="00AB1CE8"/>
    <w:rsid w:val="00AB39A8"/>
    <w:rsid w:val="00AB452D"/>
    <w:rsid w:val="00AB4552"/>
    <w:rsid w:val="00AB559B"/>
    <w:rsid w:val="00AB63C5"/>
    <w:rsid w:val="00AC2EBF"/>
    <w:rsid w:val="00AC3859"/>
    <w:rsid w:val="00AC3BF7"/>
    <w:rsid w:val="00AC3DB3"/>
    <w:rsid w:val="00AC40CB"/>
    <w:rsid w:val="00AC5EC1"/>
    <w:rsid w:val="00AC724A"/>
    <w:rsid w:val="00AD08B3"/>
    <w:rsid w:val="00AD1558"/>
    <w:rsid w:val="00AD2372"/>
    <w:rsid w:val="00AD273E"/>
    <w:rsid w:val="00AD391B"/>
    <w:rsid w:val="00AD3A9F"/>
    <w:rsid w:val="00AD3F16"/>
    <w:rsid w:val="00AD4C1B"/>
    <w:rsid w:val="00AD4E0F"/>
    <w:rsid w:val="00AE1058"/>
    <w:rsid w:val="00AE1808"/>
    <w:rsid w:val="00AE248E"/>
    <w:rsid w:val="00AE28EE"/>
    <w:rsid w:val="00AE3F1D"/>
    <w:rsid w:val="00AE672E"/>
    <w:rsid w:val="00AE6CAC"/>
    <w:rsid w:val="00AE6D70"/>
    <w:rsid w:val="00AE76D8"/>
    <w:rsid w:val="00AF06C8"/>
    <w:rsid w:val="00AF0904"/>
    <w:rsid w:val="00AF1489"/>
    <w:rsid w:val="00AF6C03"/>
    <w:rsid w:val="00B019FF"/>
    <w:rsid w:val="00B01DE1"/>
    <w:rsid w:val="00B01EE4"/>
    <w:rsid w:val="00B02813"/>
    <w:rsid w:val="00B033C9"/>
    <w:rsid w:val="00B05B45"/>
    <w:rsid w:val="00B06C0C"/>
    <w:rsid w:val="00B11D46"/>
    <w:rsid w:val="00B12D9E"/>
    <w:rsid w:val="00B1473C"/>
    <w:rsid w:val="00B1610F"/>
    <w:rsid w:val="00B1620B"/>
    <w:rsid w:val="00B17A1D"/>
    <w:rsid w:val="00B17F2E"/>
    <w:rsid w:val="00B225EF"/>
    <w:rsid w:val="00B2336D"/>
    <w:rsid w:val="00B23AB7"/>
    <w:rsid w:val="00B25A35"/>
    <w:rsid w:val="00B26250"/>
    <w:rsid w:val="00B312B5"/>
    <w:rsid w:val="00B315F4"/>
    <w:rsid w:val="00B34DBD"/>
    <w:rsid w:val="00B44714"/>
    <w:rsid w:val="00B449C5"/>
    <w:rsid w:val="00B53E2E"/>
    <w:rsid w:val="00B5627E"/>
    <w:rsid w:val="00B574E9"/>
    <w:rsid w:val="00B57F3B"/>
    <w:rsid w:val="00B617EE"/>
    <w:rsid w:val="00B61BD5"/>
    <w:rsid w:val="00B629DB"/>
    <w:rsid w:val="00B6389A"/>
    <w:rsid w:val="00B64C24"/>
    <w:rsid w:val="00B66987"/>
    <w:rsid w:val="00B67B01"/>
    <w:rsid w:val="00B7144D"/>
    <w:rsid w:val="00B72557"/>
    <w:rsid w:val="00B73125"/>
    <w:rsid w:val="00B745E2"/>
    <w:rsid w:val="00B75DA4"/>
    <w:rsid w:val="00B761A2"/>
    <w:rsid w:val="00B81A9B"/>
    <w:rsid w:val="00B82966"/>
    <w:rsid w:val="00B82CA1"/>
    <w:rsid w:val="00B83D8C"/>
    <w:rsid w:val="00B85C19"/>
    <w:rsid w:val="00B86173"/>
    <w:rsid w:val="00B87643"/>
    <w:rsid w:val="00B87A29"/>
    <w:rsid w:val="00B91388"/>
    <w:rsid w:val="00B949EF"/>
    <w:rsid w:val="00B9544A"/>
    <w:rsid w:val="00B96394"/>
    <w:rsid w:val="00BA090E"/>
    <w:rsid w:val="00BA09FA"/>
    <w:rsid w:val="00BA0CC4"/>
    <w:rsid w:val="00BA14C5"/>
    <w:rsid w:val="00BA1A27"/>
    <w:rsid w:val="00BA264C"/>
    <w:rsid w:val="00BA2FA5"/>
    <w:rsid w:val="00BA34EF"/>
    <w:rsid w:val="00BA3539"/>
    <w:rsid w:val="00BA5171"/>
    <w:rsid w:val="00BA5473"/>
    <w:rsid w:val="00BA5A0F"/>
    <w:rsid w:val="00BA624C"/>
    <w:rsid w:val="00BA7C3C"/>
    <w:rsid w:val="00BB08DB"/>
    <w:rsid w:val="00BB1629"/>
    <w:rsid w:val="00BB3092"/>
    <w:rsid w:val="00BB6345"/>
    <w:rsid w:val="00BB66A2"/>
    <w:rsid w:val="00BC0341"/>
    <w:rsid w:val="00BC0533"/>
    <w:rsid w:val="00BC081B"/>
    <w:rsid w:val="00BC1D7E"/>
    <w:rsid w:val="00BC23DE"/>
    <w:rsid w:val="00BC2839"/>
    <w:rsid w:val="00BC2B78"/>
    <w:rsid w:val="00BC3126"/>
    <w:rsid w:val="00BC3E33"/>
    <w:rsid w:val="00BC4E88"/>
    <w:rsid w:val="00BC4F51"/>
    <w:rsid w:val="00BC5856"/>
    <w:rsid w:val="00BC63D5"/>
    <w:rsid w:val="00BD097B"/>
    <w:rsid w:val="00BD3680"/>
    <w:rsid w:val="00BD40D9"/>
    <w:rsid w:val="00BE15CE"/>
    <w:rsid w:val="00BE1B07"/>
    <w:rsid w:val="00BE250D"/>
    <w:rsid w:val="00BE31E7"/>
    <w:rsid w:val="00BE575F"/>
    <w:rsid w:val="00BE6B47"/>
    <w:rsid w:val="00BE70A2"/>
    <w:rsid w:val="00BF260A"/>
    <w:rsid w:val="00BF286A"/>
    <w:rsid w:val="00BF29F0"/>
    <w:rsid w:val="00BF3F3C"/>
    <w:rsid w:val="00BF3F53"/>
    <w:rsid w:val="00BF523C"/>
    <w:rsid w:val="00BF559E"/>
    <w:rsid w:val="00BF73F5"/>
    <w:rsid w:val="00C0080F"/>
    <w:rsid w:val="00C00C4D"/>
    <w:rsid w:val="00C01284"/>
    <w:rsid w:val="00C0184A"/>
    <w:rsid w:val="00C01A1F"/>
    <w:rsid w:val="00C0354C"/>
    <w:rsid w:val="00C03ACF"/>
    <w:rsid w:val="00C05859"/>
    <w:rsid w:val="00C062B7"/>
    <w:rsid w:val="00C073EC"/>
    <w:rsid w:val="00C100CF"/>
    <w:rsid w:val="00C10D86"/>
    <w:rsid w:val="00C12298"/>
    <w:rsid w:val="00C16A67"/>
    <w:rsid w:val="00C16C25"/>
    <w:rsid w:val="00C17659"/>
    <w:rsid w:val="00C179EF"/>
    <w:rsid w:val="00C2060F"/>
    <w:rsid w:val="00C217A6"/>
    <w:rsid w:val="00C21F05"/>
    <w:rsid w:val="00C22144"/>
    <w:rsid w:val="00C22921"/>
    <w:rsid w:val="00C22E03"/>
    <w:rsid w:val="00C240E9"/>
    <w:rsid w:val="00C25C2F"/>
    <w:rsid w:val="00C26D55"/>
    <w:rsid w:val="00C26FCA"/>
    <w:rsid w:val="00C2702D"/>
    <w:rsid w:val="00C35778"/>
    <w:rsid w:val="00C37F65"/>
    <w:rsid w:val="00C4221B"/>
    <w:rsid w:val="00C428D7"/>
    <w:rsid w:val="00C42DCD"/>
    <w:rsid w:val="00C441F0"/>
    <w:rsid w:val="00C4466F"/>
    <w:rsid w:val="00C474C4"/>
    <w:rsid w:val="00C54067"/>
    <w:rsid w:val="00C56FE0"/>
    <w:rsid w:val="00C57D0B"/>
    <w:rsid w:val="00C600CC"/>
    <w:rsid w:val="00C60152"/>
    <w:rsid w:val="00C60422"/>
    <w:rsid w:val="00C60CC2"/>
    <w:rsid w:val="00C617B4"/>
    <w:rsid w:val="00C61BC4"/>
    <w:rsid w:val="00C61E43"/>
    <w:rsid w:val="00C62723"/>
    <w:rsid w:val="00C62C4B"/>
    <w:rsid w:val="00C6316F"/>
    <w:rsid w:val="00C63A9D"/>
    <w:rsid w:val="00C654F7"/>
    <w:rsid w:val="00C6729A"/>
    <w:rsid w:val="00C7016A"/>
    <w:rsid w:val="00C71B33"/>
    <w:rsid w:val="00C7492A"/>
    <w:rsid w:val="00C74C19"/>
    <w:rsid w:val="00C7536D"/>
    <w:rsid w:val="00C76A8B"/>
    <w:rsid w:val="00C76E13"/>
    <w:rsid w:val="00C77C64"/>
    <w:rsid w:val="00C82CF4"/>
    <w:rsid w:val="00C8655F"/>
    <w:rsid w:val="00C8753F"/>
    <w:rsid w:val="00C91DAF"/>
    <w:rsid w:val="00C92713"/>
    <w:rsid w:val="00C92ACA"/>
    <w:rsid w:val="00C9304A"/>
    <w:rsid w:val="00C93DDF"/>
    <w:rsid w:val="00C9407C"/>
    <w:rsid w:val="00C94CC8"/>
    <w:rsid w:val="00C95019"/>
    <w:rsid w:val="00C957D0"/>
    <w:rsid w:val="00C97450"/>
    <w:rsid w:val="00C97F16"/>
    <w:rsid w:val="00CA3175"/>
    <w:rsid w:val="00CA32E7"/>
    <w:rsid w:val="00CA3A6E"/>
    <w:rsid w:val="00CA3DF1"/>
    <w:rsid w:val="00CA5EA5"/>
    <w:rsid w:val="00CA7DBC"/>
    <w:rsid w:val="00CB0C8C"/>
    <w:rsid w:val="00CB27E5"/>
    <w:rsid w:val="00CB4193"/>
    <w:rsid w:val="00CC0A80"/>
    <w:rsid w:val="00CC176C"/>
    <w:rsid w:val="00CC288F"/>
    <w:rsid w:val="00CC429E"/>
    <w:rsid w:val="00CC5944"/>
    <w:rsid w:val="00CC6517"/>
    <w:rsid w:val="00CC6DF5"/>
    <w:rsid w:val="00CD2431"/>
    <w:rsid w:val="00CD2447"/>
    <w:rsid w:val="00CD2857"/>
    <w:rsid w:val="00CD3BCD"/>
    <w:rsid w:val="00CD45CD"/>
    <w:rsid w:val="00CD4C00"/>
    <w:rsid w:val="00CD6A05"/>
    <w:rsid w:val="00CD6E3D"/>
    <w:rsid w:val="00CE108C"/>
    <w:rsid w:val="00CE2654"/>
    <w:rsid w:val="00CE3807"/>
    <w:rsid w:val="00CE62D6"/>
    <w:rsid w:val="00CE6666"/>
    <w:rsid w:val="00CE688C"/>
    <w:rsid w:val="00CE772E"/>
    <w:rsid w:val="00CF136D"/>
    <w:rsid w:val="00CF1886"/>
    <w:rsid w:val="00CF1B19"/>
    <w:rsid w:val="00CF2828"/>
    <w:rsid w:val="00CF3664"/>
    <w:rsid w:val="00CF3819"/>
    <w:rsid w:val="00CF3AAA"/>
    <w:rsid w:val="00CF6C6C"/>
    <w:rsid w:val="00CF7402"/>
    <w:rsid w:val="00D004EA"/>
    <w:rsid w:val="00D006DE"/>
    <w:rsid w:val="00D0120B"/>
    <w:rsid w:val="00D03DDD"/>
    <w:rsid w:val="00D0541F"/>
    <w:rsid w:val="00D0687E"/>
    <w:rsid w:val="00D079FF"/>
    <w:rsid w:val="00D101C6"/>
    <w:rsid w:val="00D11356"/>
    <w:rsid w:val="00D11A70"/>
    <w:rsid w:val="00D12142"/>
    <w:rsid w:val="00D123CA"/>
    <w:rsid w:val="00D145F5"/>
    <w:rsid w:val="00D14715"/>
    <w:rsid w:val="00D160D0"/>
    <w:rsid w:val="00D1651B"/>
    <w:rsid w:val="00D20F93"/>
    <w:rsid w:val="00D22E07"/>
    <w:rsid w:val="00D232D4"/>
    <w:rsid w:val="00D245A6"/>
    <w:rsid w:val="00D25C9A"/>
    <w:rsid w:val="00D260E6"/>
    <w:rsid w:val="00D3085B"/>
    <w:rsid w:val="00D31805"/>
    <w:rsid w:val="00D31BE3"/>
    <w:rsid w:val="00D32268"/>
    <w:rsid w:val="00D32C15"/>
    <w:rsid w:val="00D32C59"/>
    <w:rsid w:val="00D33E73"/>
    <w:rsid w:val="00D34D89"/>
    <w:rsid w:val="00D35969"/>
    <w:rsid w:val="00D36A4E"/>
    <w:rsid w:val="00D36D16"/>
    <w:rsid w:val="00D41172"/>
    <w:rsid w:val="00D42ADF"/>
    <w:rsid w:val="00D42FF3"/>
    <w:rsid w:val="00D44DB4"/>
    <w:rsid w:val="00D4713D"/>
    <w:rsid w:val="00D5019F"/>
    <w:rsid w:val="00D5076B"/>
    <w:rsid w:val="00D51067"/>
    <w:rsid w:val="00D51848"/>
    <w:rsid w:val="00D55297"/>
    <w:rsid w:val="00D60BFF"/>
    <w:rsid w:val="00D61BA6"/>
    <w:rsid w:val="00D62523"/>
    <w:rsid w:val="00D62A8F"/>
    <w:rsid w:val="00D63CAA"/>
    <w:rsid w:val="00D64478"/>
    <w:rsid w:val="00D70FAE"/>
    <w:rsid w:val="00D73AF0"/>
    <w:rsid w:val="00D756FE"/>
    <w:rsid w:val="00D774D5"/>
    <w:rsid w:val="00D80018"/>
    <w:rsid w:val="00D8063E"/>
    <w:rsid w:val="00D80E9B"/>
    <w:rsid w:val="00D827F9"/>
    <w:rsid w:val="00D94154"/>
    <w:rsid w:val="00D944A8"/>
    <w:rsid w:val="00D95938"/>
    <w:rsid w:val="00DA083B"/>
    <w:rsid w:val="00DA0B21"/>
    <w:rsid w:val="00DA34D5"/>
    <w:rsid w:val="00DA35B6"/>
    <w:rsid w:val="00DA5723"/>
    <w:rsid w:val="00DA77C6"/>
    <w:rsid w:val="00DA7893"/>
    <w:rsid w:val="00DB2FE4"/>
    <w:rsid w:val="00DB42E3"/>
    <w:rsid w:val="00DB7692"/>
    <w:rsid w:val="00DC2A9E"/>
    <w:rsid w:val="00DC49A0"/>
    <w:rsid w:val="00DC4E2E"/>
    <w:rsid w:val="00DC672F"/>
    <w:rsid w:val="00DC6954"/>
    <w:rsid w:val="00DC6AFB"/>
    <w:rsid w:val="00DC7FD5"/>
    <w:rsid w:val="00DD08DA"/>
    <w:rsid w:val="00DD19A3"/>
    <w:rsid w:val="00DD2381"/>
    <w:rsid w:val="00DD2801"/>
    <w:rsid w:val="00DD34FE"/>
    <w:rsid w:val="00DD351D"/>
    <w:rsid w:val="00DD4C45"/>
    <w:rsid w:val="00DD5E08"/>
    <w:rsid w:val="00DD6227"/>
    <w:rsid w:val="00DE1691"/>
    <w:rsid w:val="00DE1D24"/>
    <w:rsid w:val="00DE2823"/>
    <w:rsid w:val="00DE2D15"/>
    <w:rsid w:val="00DE302C"/>
    <w:rsid w:val="00DE3293"/>
    <w:rsid w:val="00DF0344"/>
    <w:rsid w:val="00DF05A7"/>
    <w:rsid w:val="00DF0E00"/>
    <w:rsid w:val="00DF17D4"/>
    <w:rsid w:val="00DF2288"/>
    <w:rsid w:val="00DF255B"/>
    <w:rsid w:val="00DF2B37"/>
    <w:rsid w:val="00DF31FE"/>
    <w:rsid w:val="00DF3852"/>
    <w:rsid w:val="00DF4C4F"/>
    <w:rsid w:val="00DF5E0F"/>
    <w:rsid w:val="00E0372D"/>
    <w:rsid w:val="00E04094"/>
    <w:rsid w:val="00E0428A"/>
    <w:rsid w:val="00E044FC"/>
    <w:rsid w:val="00E04F1A"/>
    <w:rsid w:val="00E05687"/>
    <w:rsid w:val="00E0621E"/>
    <w:rsid w:val="00E064CC"/>
    <w:rsid w:val="00E0722E"/>
    <w:rsid w:val="00E10B56"/>
    <w:rsid w:val="00E10FE1"/>
    <w:rsid w:val="00E117ED"/>
    <w:rsid w:val="00E11B61"/>
    <w:rsid w:val="00E11FF6"/>
    <w:rsid w:val="00E12F83"/>
    <w:rsid w:val="00E1422B"/>
    <w:rsid w:val="00E16B54"/>
    <w:rsid w:val="00E2086D"/>
    <w:rsid w:val="00E2236A"/>
    <w:rsid w:val="00E22DCC"/>
    <w:rsid w:val="00E2538F"/>
    <w:rsid w:val="00E263ED"/>
    <w:rsid w:val="00E27CCC"/>
    <w:rsid w:val="00E301F8"/>
    <w:rsid w:val="00E305A5"/>
    <w:rsid w:val="00E30F46"/>
    <w:rsid w:val="00E32E05"/>
    <w:rsid w:val="00E330DA"/>
    <w:rsid w:val="00E33B1C"/>
    <w:rsid w:val="00E33D86"/>
    <w:rsid w:val="00E34A97"/>
    <w:rsid w:val="00E35CAF"/>
    <w:rsid w:val="00E364CA"/>
    <w:rsid w:val="00E37F09"/>
    <w:rsid w:val="00E40A87"/>
    <w:rsid w:val="00E41C74"/>
    <w:rsid w:val="00E42709"/>
    <w:rsid w:val="00E447F2"/>
    <w:rsid w:val="00E44DB4"/>
    <w:rsid w:val="00E46DCA"/>
    <w:rsid w:val="00E50C22"/>
    <w:rsid w:val="00E52320"/>
    <w:rsid w:val="00E53828"/>
    <w:rsid w:val="00E54229"/>
    <w:rsid w:val="00E56AD1"/>
    <w:rsid w:val="00E606A4"/>
    <w:rsid w:val="00E6325E"/>
    <w:rsid w:val="00E6484A"/>
    <w:rsid w:val="00E65ACF"/>
    <w:rsid w:val="00E73390"/>
    <w:rsid w:val="00E733CF"/>
    <w:rsid w:val="00E74BA6"/>
    <w:rsid w:val="00E74C8C"/>
    <w:rsid w:val="00E76360"/>
    <w:rsid w:val="00E76AE2"/>
    <w:rsid w:val="00E77140"/>
    <w:rsid w:val="00E809AF"/>
    <w:rsid w:val="00E81E7A"/>
    <w:rsid w:val="00E82BF2"/>
    <w:rsid w:val="00E86C2C"/>
    <w:rsid w:val="00E86F7B"/>
    <w:rsid w:val="00E8707B"/>
    <w:rsid w:val="00E87220"/>
    <w:rsid w:val="00E8756D"/>
    <w:rsid w:val="00E9235B"/>
    <w:rsid w:val="00E94BC5"/>
    <w:rsid w:val="00E9562E"/>
    <w:rsid w:val="00E95CDB"/>
    <w:rsid w:val="00E96FD3"/>
    <w:rsid w:val="00E97D9D"/>
    <w:rsid w:val="00EA1713"/>
    <w:rsid w:val="00EA201A"/>
    <w:rsid w:val="00EA4FEF"/>
    <w:rsid w:val="00EA6BAC"/>
    <w:rsid w:val="00EB2949"/>
    <w:rsid w:val="00EB3231"/>
    <w:rsid w:val="00EB3590"/>
    <w:rsid w:val="00EB3E7D"/>
    <w:rsid w:val="00EB5ED5"/>
    <w:rsid w:val="00EB773F"/>
    <w:rsid w:val="00EB7AAC"/>
    <w:rsid w:val="00EB7B79"/>
    <w:rsid w:val="00EC1CE4"/>
    <w:rsid w:val="00EC23DD"/>
    <w:rsid w:val="00EC284C"/>
    <w:rsid w:val="00EC5F0C"/>
    <w:rsid w:val="00EC7892"/>
    <w:rsid w:val="00ED0426"/>
    <w:rsid w:val="00ED0D65"/>
    <w:rsid w:val="00ED113E"/>
    <w:rsid w:val="00ED2469"/>
    <w:rsid w:val="00ED3BE2"/>
    <w:rsid w:val="00ED3E91"/>
    <w:rsid w:val="00ED43D4"/>
    <w:rsid w:val="00ED46EB"/>
    <w:rsid w:val="00ED4FB6"/>
    <w:rsid w:val="00ED5111"/>
    <w:rsid w:val="00EE0D57"/>
    <w:rsid w:val="00EE1EF6"/>
    <w:rsid w:val="00EE3DBB"/>
    <w:rsid w:val="00EE40FB"/>
    <w:rsid w:val="00EE5D60"/>
    <w:rsid w:val="00EE6032"/>
    <w:rsid w:val="00EE6B8D"/>
    <w:rsid w:val="00EE7BE1"/>
    <w:rsid w:val="00EF022B"/>
    <w:rsid w:val="00EF18DD"/>
    <w:rsid w:val="00EF1A08"/>
    <w:rsid w:val="00EF37B9"/>
    <w:rsid w:val="00EF4100"/>
    <w:rsid w:val="00EF49E6"/>
    <w:rsid w:val="00EF4B08"/>
    <w:rsid w:val="00EF586E"/>
    <w:rsid w:val="00F018FA"/>
    <w:rsid w:val="00F01C0C"/>
    <w:rsid w:val="00F01F03"/>
    <w:rsid w:val="00F0233A"/>
    <w:rsid w:val="00F02816"/>
    <w:rsid w:val="00F03319"/>
    <w:rsid w:val="00F048DB"/>
    <w:rsid w:val="00F0610E"/>
    <w:rsid w:val="00F071CA"/>
    <w:rsid w:val="00F111B5"/>
    <w:rsid w:val="00F123E4"/>
    <w:rsid w:val="00F16607"/>
    <w:rsid w:val="00F16936"/>
    <w:rsid w:val="00F169A9"/>
    <w:rsid w:val="00F174A1"/>
    <w:rsid w:val="00F20462"/>
    <w:rsid w:val="00F21F33"/>
    <w:rsid w:val="00F22290"/>
    <w:rsid w:val="00F238F0"/>
    <w:rsid w:val="00F23A30"/>
    <w:rsid w:val="00F24D06"/>
    <w:rsid w:val="00F276BF"/>
    <w:rsid w:val="00F304AF"/>
    <w:rsid w:val="00F31231"/>
    <w:rsid w:val="00F323ED"/>
    <w:rsid w:val="00F3338E"/>
    <w:rsid w:val="00F36201"/>
    <w:rsid w:val="00F3654D"/>
    <w:rsid w:val="00F37F61"/>
    <w:rsid w:val="00F406A0"/>
    <w:rsid w:val="00F422D6"/>
    <w:rsid w:val="00F44A73"/>
    <w:rsid w:val="00F46E68"/>
    <w:rsid w:val="00F500E9"/>
    <w:rsid w:val="00F509F8"/>
    <w:rsid w:val="00F51F62"/>
    <w:rsid w:val="00F55DAA"/>
    <w:rsid w:val="00F563FC"/>
    <w:rsid w:val="00F565B3"/>
    <w:rsid w:val="00F56E2C"/>
    <w:rsid w:val="00F605C7"/>
    <w:rsid w:val="00F60F30"/>
    <w:rsid w:val="00F619B1"/>
    <w:rsid w:val="00F66B2D"/>
    <w:rsid w:val="00F717EA"/>
    <w:rsid w:val="00F722C2"/>
    <w:rsid w:val="00F7440E"/>
    <w:rsid w:val="00F757A1"/>
    <w:rsid w:val="00F75C88"/>
    <w:rsid w:val="00F75CA7"/>
    <w:rsid w:val="00F77700"/>
    <w:rsid w:val="00F828E5"/>
    <w:rsid w:val="00F9087D"/>
    <w:rsid w:val="00F911CE"/>
    <w:rsid w:val="00F93D39"/>
    <w:rsid w:val="00F97AF6"/>
    <w:rsid w:val="00FA0056"/>
    <w:rsid w:val="00FA024F"/>
    <w:rsid w:val="00FA2C43"/>
    <w:rsid w:val="00FA7979"/>
    <w:rsid w:val="00FB28CD"/>
    <w:rsid w:val="00FB3B28"/>
    <w:rsid w:val="00FB562D"/>
    <w:rsid w:val="00FB6B98"/>
    <w:rsid w:val="00FB767F"/>
    <w:rsid w:val="00FC12FA"/>
    <w:rsid w:val="00FC1C3C"/>
    <w:rsid w:val="00FC1DFE"/>
    <w:rsid w:val="00FC20C5"/>
    <w:rsid w:val="00FC3C97"/>
    <w:rsid w:val="00FC3CD0"/>
    <w:rsid w:val="00FC4605"/>
    <w:rsid w:val="00FC5269"/>
    <w:rsid w:val="00FC727A"/>
    <w:rsid w:val="00FC775A"/>
    <w:rsid w:val="00FD0AA5"/>
    <w:rsid w:val="00FD23DA"/>
    <w:rsid w:val="00FD456B"/>
    <w:rsid w:val="00FD498C"/>
    <w:rsid w:val="00FD5D81"/>
    <w:rsid w:val="00FD7DBD"/>
    <w:rsid w:val="00FD7FC8"/>
    <w:rsid w:val="00FE0AD7"/>
    <w:rsid w:val="00FE17CA"/>
    <w:rsid w:val="00FE3584"/>
    <w:rsid w:val="00FE49C5"/>
    <w:rsid w:val="00FE6340"/>
    <w:rsid w:val="00FE73DD"/>
    <w:rsid w:val="00FF1F78"/>
    <w:rsid w:val="00FF2D34"/>
    <w:rsid w:val="00FF2D61"/>
    <w:rsid w:val="00FF5DB9"/>
    <w:rsid w:val="00FF78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52D4-928F-4D12-B669-82395BCD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0C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0C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F4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E1CA1"/>
    <w:rPr>
      <w:color w:val="808080"/>
    </w:rPr>
  </w:style>
  <w:style w:type="paragraph" w:styleId="Prrafodelista">
    <w:name w:val="List Paragraph"/>
    <w:basedOn w:val="Normal"/>
    <w:uiPriority w:val="34"/>
    <w:qFormat/>
    <w:rsid w:val="00A55EEB"/>
    <w:pPr>
      <w:ind w:left="720"/>
      <w:contextualSpacing/>
    </w:pPr>
  </w:style>
  <w:style w:type="character" w:customStyle="1" w:styleId="Ttulo1Car">
    <w:name w:val="Título 1 Car"/>
    <w:basedOn w:val="Fuentedeprrafopredeter"/>
    <w:link w:val="Ttulo1"/>
    <w:uiPriority w:val="9"/>
    <w:rsid w:val="00C00C4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00C4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F4226"/>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C97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B6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673"/>
  </w:style>
  <w:style w:type="paragraph" w:styleId="Piedepgina">
    <w:name w:val="footer"/>
    <w:basedOn w:val="Normal"/>
    <w:link w:val="PiedepginaCar"/>
    <w:uiPriority w:val="99"/>
    <w:unhideWhenUsed/>
    <w:rsid w:val="001B6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673"/>
  </w:style>
  <w:style w:type="paragraph" w:styleId="Descripcin">
    <w:name w:val="caption"/>
    <w:basedOn w:val="Normal"/>
    <w:next w:val="Normal"/>
    <w:uiPriority w:val="35"/>
    <w:unhideWhenUsed/>
    <w:qFormat/>
    <w:rsid w:val="006F5F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08280">
      <w:bodyDiv w:val="1"/>
      <w:marLeft w:val="0"/>
      <w:marRight w:val="0"/>
      <w:marTop w:val="0"/>
      <w:marBottom w:val="0"/>
      <w:divBdr>
        <w:top w:val="none" w:sz="0" w:space="0" w:color="auto"/>
        <w:left w:val="none" w:sz="0" w:space="0" w:color="auto"/>
        <w:bottom w:val="none" w:sz="0" w:space="0" w:color="auto"/>
        <w:right w:val="none" w:sz="0" w:space="0" w:color="auto"/>
      </w:divBdr>
    </w:div>
    <w:div w:id="458959449">
      <w:bodyDiv w:val="1"/>
      <w:marLeft w:val="0"/>
      <w:marRight w:val="0"/>
      <w:marTop w:val="0"/>
      <w:marBottom w:val="0"/>
      <w:divBdr>
        <w:top w:val="none" w:sz="0" w:space="0" w:color="auto"/>
        <w:left w:val="none" w:sz="0" w:space="0" w:color="auto"/>
        <w:bottom w:val="none" w:sz="0" w:space="0" w:color="auto"/>
        <w:right w:val="none" w:sz="0" w:space="0" w:color="auto"/>
      </w:divBdr>
    </w:div>
    <w:div w:id="495924292">
      <w:bodyDiv w:val="1"/>
      <w:marLeft w:val="0"/>
      <w:marRight w:val="0"/>
      <w:marTop w:val="0"/>
      <w:marBottom w:val="0"/>
      <w:divBdr>
        <w:top w:val="none" w:sz="0" w:space="0" w:color="auto"/>
        <w:left w:val="none" w:sz="0" w:space="0" w:color="auto"/>
        <w:bottom w:val="none" w:sz="0" w:space="0" w:color="auto"/>
        <w:right w:val="none" w:sz="0" w:space="0" w:color="auto"/>
      </w:divBdr>
    </w:div>
    <w:div w:id="696350739">
      <w:bodyDiv w:val="1"/>
      <w:marLeft w:val="0"/>
      <w:marRight w:val="0"/>
      <w:marTop w:val="0"/>
      <w:marBottom w:val="0"/>
      <w:divBdr>
        <w:top w:val="none" w:sz="0" w:space="0" w:color="auto"/>
        <w:left w:val="none" w:sz="0" w:space="0" w:color="auto"/>
        <w:bottom w:val="none" w:sz="0" w:space="0" w:color="auto"/>
        <w:right w:val="none" w:sz="0" w:space="0" w:color="auto"/>
      </w:divBdr>
    </w:div>
    <w:div w:id="710610163">
      <w:bodyDiv w:val="1"/>
      <w:marLeft w:val="0"/>
      <w:marRight w:val="0"/>
      <w:marTop w:val="0"/>
      <w:marBottom w:val="0"/>
      <w:divBdr>
        <w:top w:val="none" w:sz="0" w:space="0" w:color="auto"/>
        <w:left w:val="none" w:sz="0" w:space="0" w:color="auto"/>
        <w:bottom w:val="none" w:sz="0" w:space="0" w:color="auto"/>
        <w:right w:val="none" w:sz="0" w:space="0" w:color="auto"/>
      </w:divBdr>
    </w:div>
    <w:div w:id="797333408">
      <w:bodyDiv w:val="1"/>
      <w:marLeft w:val="0"/>
      <w:marRight w:val="0"/>
      <w:marTop w:val="0"/>
      <w:marBottom w:val="0"/>
      <w:divBdr>
        <w:top w:val="none" w:sz="0" w:space="0" w:color="auto"/>
        <w:left w:val="none" w:sz="0" w:space="0" w:color="auto"/>
        <w:bottom w:val="none" w:sz="0" w:space="0" w:color="auto"/>
        <w:right w:val="none" w:sz="0" w:space="0" w:color="auto"/>
      </w:divBdr>
    </w:div>
    <w:div w:id="889456389">
      <w:bodyDiv w:val="1"/>
      <w:marLeft w:val="0"/>
      <w:marRight w:val="0"/>
      <w:marTop w:val="0"/>
      <w:marBottom w:val="0"/>
      <w:divBdr>
        <w:top w:val="none" w:sz="0" w:space="0" w:color="auto"/>
        <w:left w:val="none" w:sz="0" w:space="0" w:color="auto"/>
        <w:bottom w:val="none" w:sz="0" w:space="0" w:color="auto"/>
        <w:right w:val="none" w:sz="0" w:space="0" w:color="auto"/>
      </w:divBdr>
    </w:div>
    <w:div w:id="1022826144">
      <w:bodyDiv w:val="1"/>
      <w:marLeft w:val="0"/>
      <w:marRight w:val="0"/>
      <w:marTop w:val="0"/>
      <w:marBottom w:val="0"/>
      <w:divBdr>
        <w:top w:val="none" w:sz="0" w:space="0" w:color="auto"/>
        <w:left w:val="none" w:sz="0" w:space="0" w:color="auto"/>
        <w:bottom w:val="none" w:sz="0" w:space="0" w:color="auto"/>
        <w:right w:val="none" w:sz="0" w:space="0" w:color="auto"/>
      </w:divBdr>
    </w:div>
    <w:div w:id="1052734159">
      <w:bodyDiv w:val="1"/>
      <w:marLeft w:val="0"/>
      <w:marRight w:val="0"/>
      <w:marTop w:val="0"/>
      <w:marBottom w:val="0"/>
      <w:divBdr>
        <w:top w:val="none" w:sz="0" w:space="0" w:color="auto"/>
        <w:left w:val="none" w:sz="0" w:space="0" w:color="auto"/>
        <w:bottom w:val="none" w:sz="0" w:space="0" w:color="auto"/>
        <w:right w:val="none" w:sz="0" w:space="0" w:color="auto"/>
      </w:divBdr>
    </w:div>
    <w:div w:id="1166702930">
      <w:bodyDiv w:val="1"/>
      <w:marLeft w:val="0"/>
      <w:marRight w:val="0"/>
      <w:marTop w:val="0"/>
      <w:marBottom w:val="0"/>
      <w:divBdr>
        <w:top w:val="none" w:sz="0" w:space="0" w:color="auto"/>
        <w:left w:val="none" w:sz="0" w:space="0" w:color="auto"/>
        <w:bottom w:val="none" w:sz="0" w:space="0" w:color="auto"/>
        <w:right w:val="none" w:sz="0" w:space="0" w:color="auto"/>
      </w:divBdr>
    </w:div>
    <w:div w:id="1426342114">
      <w:bodyDiv w:val="1"/>
      <w:marLeft w:val="0"/>
      <w:marRight w:val="0"/>
      <w:marTop w:val="0"/>
      <w:marBottom w:val="0"/>
      <w:divBdr>
        <w:top w:val="none" w:sz="0" w:space="0" w:color="auto"/>
        <w:left w:val="none" w:sz="0" w:space="0" w:color="auto"/>
        <w:bottom w:val="none" w:sz="0" w:space="0" w:color="auto"/>
        <w:right w:val="none" w:sz="0" w:space="0" w:color="auto"/>
      </w:divBdr>
    </w:div>
    <w:div w:id="1464351553">
      <w:bodyDiv w:val="1"/>
      <w:marLeft w:val="0"/>
      <w:marRight w:val="0"/>
      <w:marTop w:val="0"/>
      <w:marBottom w:val="0"/>
      <w:divBdr>
        <w:top w:val="none" w:sz="0" w:space="0" w:color="auto"/>
        <w:left w:val="none" w:sz="0" w:space="0" w:color="auto"/>
        <w:bottom w:val="none" w:sz="0" w:space="0" w:color="auto"/>
        <w:right w:val="none" w:sz="0" w:space="0" w:color="auto"/>
      </w:divBdr>
    </w:div>
    <w:div w:id="1470855927">
      <w:bodyDiv w:val="1"/>
      <w:marLeft w:val="0"/>
      <w:marRight w:val="0"/>
      <w:marTop w:val="0"/>
      <w:marBottom w:val="0"/>
      <w:divBdr>
        <w:top w:val="none" w:sz="0" w:space="0" w:color="auto"/>
        <w:left w:val="none" w:sz="0" w:space="0" w:color="auto"/>
        <w:bottom w:val="none" w:sz="0" w:space="0" w:color="auto"/>
        <w:right w:val="none" w:sz="0" w:space="0" w:color="auto"/>
      </w:divBdr>
    </w:div>
    <w:div w:id="1476415117">
      <w:bodyDiv w:val="1"/>
      <w:marLeft w:val="0"/>
      <w:marRight w:val="0"/>
      <w:marTop w:val="0"/>
      <w:marBottom w:val="0"/>
      <w:divBdr>
        <w:top w:val="none" w:sz="0" w:space="0" w:color="auto"/>
        <w:left w:val="none" w:sz="0" w:space="0" w:color="auto"/>
        <w:bottom w:val="none" w:sz="0" w:space="0" w:color="auto"/>
        <w:right w:val="none" w:sz="0" w:space="0" w:color="auto"/>
      </w:divBdr>
    </w:div>
    <w:div w:id="1631977765">
      <w:bodyDiv w:val="1"/>
      <w:marLeft w:val="0"/>
      <w:marRight w:val="0"/>
      <w:marTop w:val="0"/>
      <w:marBottom w:val="0"/>
      <w:divBdr>
        <w:top w:val="none" w:sz="0" w:space="0" w:color="auto"/>
        <w:left w:val="none" w:sz="0" w:space="0" w:color="auto"/>
        <w:bottom w:val="none" w:sz="0" w:space="0" w:color="auto"/>
        <w:right w:val="none" w:sz="0" w:space="0" w:color="auto"/>
      </w:divBdr>
    </w:div>
    <w:div w:id="1633831204">
      <w:bodyDiv w:val="1"/>
      <w:marLeft w:val="0"/>
      <w:marRight w:val="0"/>
      <w:marTop w:val="0"/>
      <w:marBottom w:val="0"/>
      <w:divBdr>
        <w:top w:val="none" w:sz="0" w:space="0" w:color="auto"/>
        <w:left w:val="none" w:sz="0" w:space="0" w:color="auto"/>
        <w:bottom w:val="none" w:sz="0" w:space="0" w:color="auto"/>
        <w:right w:val="none" w:sz="0" w:space="0" w:color="auto"/>
      </w:divBdr>
    </w:div>
    <w:div w:id="1658410966">
      <w:bodyDiv w:val="1"/>
      <w:marLeft w:val="0"/>
      <w:marRight w:val="0"/>
      <w:marTop w:val="0"/>
      <w:marBottom w:val="0"/>
      <w:divBdr>
        <w:top w:val="none" w:sz="0" w:space="0" w:color="auto"/>
        <w:left w:val="none" w:sz="0" w:space="0" w:color="auto"/>
        <w:bottom w:val="none" w:sz="0" w:space="0" w:color="auto"/>
        <w:right w:val="none" w:sz="0" w:space="0" w:color="auto"/>
      </w:divBdr>
    </w:div>
    <w:div w:id="1748913553">
      <w:bodyDiv w:val="1"/>
      <w:marLeft w:val="0"/>
      <w:marRight w:val="0"/>
      <w:marTop w:val="0"/>
      <w:marBottom w:val="0"/>
      <w:divBdr>
        <w:top w:val="none" w:sz="0" w:space="0" w:color="auto"/>
        <w:left w:val="none" w:sz="0" w:space="0" w:color="auto"/>
        <w:bottom w:val="none" w:sz="0" w:space="0" w:color="auto"/>
        <w:right w:val="none" w:sz="0" w:space="0" w:color="auto"/>
      </w:divBdr>
    </w:div>
    <w:div w:id="20314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asa\Documents\Graficas%20AMOPEM.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Hoja3!$B$7:$B$27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Hoja3!$C$7:$C$27</c:f>
              <c:numCache>
                <c:formatCode>General</c:formatCode>
                <c:ptCount val="21"/>
                <c:pt idx="0">
                  <c:v>-4</c:v>
                </c:pt>
                <c:pt idx="1">
                  <c:v>-4</c:v>
                </c:pt>
                <c:pt idx="2">
                  <c:v>-4</c:v>
                </c:pt>
                <c:pt idx="3">
                  <c:v>-4</c:v>
                </c:pt>
                <c:pt idx="4">
                  <c:v>-4</c:v>
                </c:pt>
                <c:pt idx="5">
                  <c:v>-4</c:v>
                </c:pt>
                <c:pt idx="6">
                  <c:v>-4</c:v>
                </c:pt>
                <c:pt idx="7">
                  <c:v>-4</c:v>
                </c:pt>
                <c:pt idx="8">
                  <c:v>-4</c:v>
                </c:pt>
                <c:pt idx="9">
                  <c:v>-4</c:v>
                </c:pt>
                <c:pt idx="10">
                  <c:v>-4</c:v>
                </c:pt>
                <c:pt idx="11">
                  <c:v>-3</c:v>
                </c:pt>
                <c:pt idx="12">
                  <c:v>-2</c:v>
                </c:pt>
                <c:pt idx="13">
                  <c:v>-1</c:v>
                </c:pt>
                <c:pt idx="14">
                  <c:v>0</c:v>
                </c:pt>
                <c:pt idx="15">
                  <c:v>1</c:v>
                </c:pt>
                <c:pt idx="16">
                  <c:v>2</c:v>
                </c:pt>
                <c:pt idx="17">
                  <c:v>3</c:v>
                </c:pt>
                <c:pt idx="18">
                  <c:v>4</c:v>
                </c:pt>
                <c:pt idx="19">
                  <c:v>5</c:v>
                </c:pt>
                <c:pt idx="20">
                  <c:v>6</c:v>
                </c:pt>
              </c:numCache>
            </c:numRef>
          </c:yVal>
          <c:smooth val="0"/>
        </c:ser>
        <c:dLbls>
          <c:showLegendKey val="0"/>
          <c:showVal val="0"/>
          <c:showCatName val="0"/>
          <c:showSerName val="0"/>
          <c:showPercent val="0"/>
          <c:showBubbleSize val="0"/>
        </c:dLbls>
        <c:axId val="408033600"/>
        <c:axId val="408035168"/>
      </c:scatterChart>
      <c:valAx>
        <c:axId val="408033600"/>
        <c:scaling>
          <c:orientation val="minMax"/>
          <c:max val="20"/>
        </c:scaling>
        <c:delete val="0"/>
        <c:axPos val="b"/>
        <c:majorGridlines>
          <c:spPr>
            <a:ln w="9525" cap="flat" cmpd="sng" algn="ctr">
              <a:solidFill>
                <a:schemeClr val="bg1"/>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solidFill>
                      <a:schemeClr val="tx1"/>
                    </a:solidFill>
                  </a:rPr>
                  <a:t>Spot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s-CO"/>
          </a:p>
        </c:txPr>
        <c:crossAx val="408035168"/>
        <c:crosses val="autoZero"/>
        <c:crossBetween val="midCat"/>
      </c:valAx>
      <c:valAx>
        <c:axId val="40803516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solidFill>
                      <a:schemeClr val="tx1"/>
                    </a:solidFill>
                  </a:rPr>
                  <a:t>Profit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s-CO"/>
          </a:p>
        </c:txPr>
        <c:crossAx val="408033600"/>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s-CO"/>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Hoja3!$E$7:$E$27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Hoja3!$F$7:$F$27</c:f>
              <c:numCache>
                <c:formatCode>General</c:formatCode>
                <c:ptCount val="21"/>
                <c:pt idx="0">
                  <c:v>6</c:v>
                </c:pt>
                <c:pt idx="1">
                  <c:v>5</c:v>
                </c:pt>
                <c:pt idx="2">
                  <c:v>4</c:v>
                </c:pt>
                <c:pt idx="3">
                  <c:v>3</c:v>
                </c:pt>
                <c:pt idx="4">
                  <c:v>2</c:v>
                </c:pt>
                <c:pt idx="5">
                  <c:v>1</c:v>
                </c:pt>
                <c:pt idx="6">
                  <c:v>0</c:v>
                </c:pt>
                <c:pt idx="7">
                  <c:v>-1</c:v>
                </c:pt>
                <c:pt idx="8">
                  <c:v>-2</c:v>
                </c:pt>
                <c:pt idx="9">
                  <c:v>-3</c:v>
                </c:pt>
                <c:pt idx="10">
                  <c:v>-4</c:v>
                </c:pt>
                <c:pt idx="11">
                  <c:v>-4</c:v>
                </c:pt>
                <c:pt idx="12">
                  <c:v>-4</c:v>
                </c:pt>
                <c:pt idx="13">
                  <c:v>-4</c:v>
                </c:pt>
                <c:pt idx="14">
                  <c:v>-4</c:v>
                </c:pt>
                <c:pt idx="15">
                  <c:v>-4</c:v>
                </c:pt>
                <c:pt idx="16">
                  <c:v>-4</c:v>
                </c:pt>
                <c:pt idx="17">
                  <c:v>-4</c:v>
                </c:pt>
                <c:pt idx="18">
                  <c:v>-4</c:v>
                </c:pt>
                <c:pt idx="19">
                  <c:v>-4</c:v>
                </c:pt>
                <c:pt idx="20">
                  <c:v>-4</c:v>
                </c:pt>
              </c:numCache>
            </c:numRef>
          </c:yVal>
          <c:smooth val="0"/>
        </c:ser>
        <c:dLbls>
          <c:showLegendKey val="0"/>
          <c:showVal val="0"/>
          <c:showCatName val="0"/>
          <c:showSerName val="0"/>
          <c:showPercent val="0"/>
          <c:showBubbleSize val="0"/>
        </c:dLbls>
        <c:axId val="408034384"/>
        <c:axId val="408034776"/>
      </c:scatterChart>
      <c:valAx>
        <c:axId val="408034384"/>
        <c:scaling>
          <c:orientation val="minMax"/>
          <c:max val="20"/>
        </c:scaling>
        <c:delete val="0"/>
        <c:axPos val="b"/>
        <c:majorGridlines>
          <c:spPr>
            <a:ln w="9525" cap="flat" cmpd="sng" algn="ctr">
              <a:solidFill>
                <a:schemeClr val="bg1"/>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solidFill>
                      <a:schemeClr val="tx1"/>
                    </a:solidFill>
                  </a:rPr>
                  <a:t>Spot 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s-CO"/>
          </a:p>
        </c:txPr>
        <c:crossAx val="408034776"/>
        <c:crosses val="autoZero"/>
        <c:crossBetween val="midCat"/>
      </c:valAx>
      <c:valAx>
        <c:axId val="408034776"/>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a:solidFill>
                      <a:schemeClr val="tx1"/>
                    </a:solidFill>
                  </a:rPr>
                  <a:t>Profit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s-CO"/>
          </a:p>
        </c:txPr>
        <c:crossAx val="408034384"/>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s-CO"/>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2"/>
              <c:layout>
                <c:manualLayout>
                  <c:x val="3.4133639545056868E-2"/>
                  <c:y val="9.8919510061242319E-2"/>
                </c:manualLayout>
              </c:layout>
              <c:dLblPos val="bestFit"/>
              <c:showLegendKey val="0"/>
              <c:showVal val="1"/>
              <c:showCatName val="0"/>
              <c:showSerName val="0"/>
              <c:showPercent val="0"/>
              <c:showBubbleSize val="0"/>
              <c:extLst>
                <c:ext xmlns:c15="http://schemas.microsoft.com/office/drawing/2012/chart" uri="{CE6537A1-D6FC-4f65-9D91-7224C49458BB}"/>
              </c:extLst>
            </c:dLbl>
            <c:dLbl>
              <c:idx val="3"/>
              <c:layout>
                <c:manualLayout>
                  <c:x val="0.10084383202099727"/>
                  <c:y val="2.3509040536599341E-3"/>
                </c:manualLayout>
              </c:layout>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Hoja1!$C$3:$C$6</c:f>
              <c:strCache>
                <c:ptCount val="4"/>
                <c:pt idx="0">
                  <c:v>Hydraulic</c:v>
                </c:pt>
                <c:pt idx="1">
                  <c:v>Thermic</c:v>
                </c:pt>
                <c:pt idx="2">
                  <c:v>Minors</c:v>
                </c:pt>
                <c:pt idx="3">
                  <c:v>Other</c:v>
                </c:pt>
              </c:strCache>
            </c:strRef>
          </c:cat>
          <c:val>
            <c:numRef>
              <c:f>Hoja1!$D$3:$D$6</c:f>
              <c:numCache>
                <c:formatCode>0.00%</c:formatCode>
                <c:ptCount val="4"/>
                <c:pt idx="0">
                  <c:v>0.65800000000000003</c:v>
                </c:pt>
                <c:pt idx="1">
                  <c:v>0.28299999999999997</c:v>
                </c:pt>
                <c:pt idx="2">
                  <c:v>5.8000000000000003E-2</c:v>
                </c:pt>
                <c:pt idx="3">
                  <c:v>1E-3</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noFill/>
    <a:ln w="9525" cap="flat" cmpd="sng" algn="ctr">
      <a:no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Hoja2!$C$3:$C$4</c:f>
              <c:strCache>
                <c:ptCount val="2"/>
                <c:pt idx="0">
                  <c:v>Hydraulic</c:v>
                </c:pt>
                <c:pt idx="1">
                  <c:v>Others</c:v>
                </c:pt>
              </c:strCache>
            </c:strRef>
          </c:cat>
          <c:val>
            <c:numRef>
              <c:f>Hoja2!$D$3:$D$4</c:f>
              <c:numCache>
                <c:formatCode>0.00%</c:formatCode>
                <c:ptCount val="2"/>
                <c:pt idx="0">
                  <c:v>0.80900000000000005</c:v>
                </c:pt>
                <c:pt idx="1">
                  <c:v>0.19099999999999995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noFill/>
    <a:ln w="9525" cap="flat" cmpd="sng" algn="ctr">
      <a:no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Hoja2!$F$3:$F$8</c:f>
              <c:strCache>
                <c:ptCount val="6"/>
                <c:pt idx="0">
                  <c:v>Hydraulic </c:v>
                </c:pt>
                <c:pt idx="1">
                  <c:v>Thermic-Carbon</c:v>
                </c:pt>
                <c:pt idx="2">
                  <c:v>Thermic-Gas</c:v>
                </c:pt>
                <c:pt idx="3">
                  <c:v>Eolic</c:v>
                </c:pt>
                <c:pt idx="4">
                  <c:v>Solar</c:v>
                </c:pt>
                <c:pt idx="5">
                  <c:v>Minor</c:v>
                </c:pt>
              </c:strCache>
            </c:strRef>
          </c:cat>
          <c:val>
            <c:numRef>
              <c:f>Hoja2!$G$3:$G$8</c:f>
              <c:numCache>
                <c:formatCode>0.00%</c:formatCode>
                <c:ptCount val="6"/>
                <c:pt idx="0">
                  <c:v>0.58199999999999996</c:v>
                </c:pt>
                <c:pt idx="1">
                  <c:v>0.21199999999999999</c:v>
                </c:pt>
                <c:pt idx="2">
                  <c:v>7.1999999999999995E-2</c:v>
                </c:pt>
                <c:pt idx="3">
                  <c:v>6.4000000000000001E-2</c:v>
                </c:pt>
                <c:pt idx="4">
                  <c:v>1.300000000000006E-2</c:v>
                </c:pt>
                <c:pt idx="5">
                  <c:v>5.7000000000000002E-2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noFill/>
    <a:ln w="9525" cap="flat" cmpd="sng" algn="ctr">
      <a:no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numRef>
              <c:f>Hoja3!$B$7:$B$27</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Hoja3!$C$7:$C$27</c:f>
              <c:numCache>
                <c:formatCode>General</c:formatCode>
                <c:ptCount val="21"/>
                <c:pt idx="0">
                  <c:v>-4</c:v>
                </c:pt>
                <c:pt idx="1">
                  <c:v>-4</c:v>
                </c:pt>
                <c:pt idx="2">
                  <c:v>-4</c:v>
                </c:pt>
                <c:pt idx="3">
                  <c:v>-4</c:v>
                </c:pt>
                <c:pt idx="4">
                  <c:v>-4</c:v>
                </c:pt>
                <c:pt idx="5">
                  <c:v>-4</c:v>
                </c:pt>
                <c:pt idx="6">
                  <c:v>-4</c:v>
                </c:pt>
                <c:pt idx="7">
                  <c:v>-4</c:v>
                </c:pt>
                <c:pt idx="8">
                  <c:v>-4</c:v>
                </c:pt>
                <c:pt idx="9">
                  <c:v>-4</c:v>
                </c:pt>
                <c:pt idx="10">
                  <c:v>-4</c:v>
                </c:pt>
                <c:pt idx="11">
                  <c:v>-3</c:v>
                </c:pt>
                <c:pt idx="12">
                  <c:v>-2</c:v>
                </c:pt>
                <c:pt idx="13">
                  <c:v>-1</c:v>
                </c:pt>
                <c:pt idx="14">
                  <c:v>0</c:v>
                </c:pt>
                <c:pt idx="15">
                  <c:v>1</c:v>
                </c:pt>
                <c:pt idx="16">
                  <c:v>2</c:v>
                </c:pt>
                <c:pt idx="17">
                  <c:v>3</c:v>
                </c:pt>
                <c:pt idx="18">
                  <c:v>4</c:v>
                </c:pt>
                <c:pt idx="19">
                  <c:v>5</c:v>
                </c:pt>
                <c:pt idx="20">
                  <c:v>6</c:v>
                </c:pt>
              </c:numCache>
            </c:numRef>
          </c:yVal>
          <c:smooth val="0"/>
        </c:ser>
        <c:dLbls>
          <c:showLegendKey val="0"/>
          <c:showVal val="0"/>
          <c:showCatName val="0"/>
          <c:showSerName val="0"/>
          <c:showPercent val="0"/>
          <c:showBubbleSize val="0"/>
        </c:dLbls>
        <c:axId val="413148888"/>
        <c:axId val="413148496"/>
      </c:scatterChart>
      <c:valAx>
        <c:axId val="413148888"/>
        <c:scaling>
          <c:orientation val="minMax"/>
          <c:max val="20"/>
        </c:scaling>
        <c:delete val="0"/>
        <c:axPos val="b"/>
        <c:majorGridlines>
          <c:spPr>
            <a:ln w="9525" cap="flat" cmpd="sng" algn="ctr">
              <a:solidFill>
                <a:schemeClr val="bg1"/>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b="1">
                    <a:solidFill>
                      <a:schemeClr val="tx1"/>
                    </a:solidFill>
                  </a:rPr>
                  <a:t>Spot Price</a:t>
                </a:r>
                <a:r>
                  <a:rPr lang="es-CO" b="1" baseline="-25000">
                    <a:solidFill>
                      <a:schemeClr val="tx1"/>
                    </a:solidFill>
                  </a:rPr>
                  <a:t>t</a:t>
                </a:r>
                <a:r>
                  <a:rPr lang="es-CO" b="1">
                    <a:solidFill>
                      <a:schemeClr val="tx1"/>
                    </a:solidFill>
                  </a:rPr>
                  <a:t>($COP/kWh)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s-CO"/>
          </a:p>
        </c:txPr>
        <c:crossAx val="413148496"/>
        <c:crosses val="autoZero"/>
        <c:crossBetween val="midCat"/>
      </c:valAx>
      <c:valAx>
        <c:axId val="413148496"/>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CO" b="1">
                    <a:solidFill>
                      <a:schemeClr val="tx1"/>
                    </a:solidFill>
                  </a:rPr>
                  <a:t>Profit</a:t>
                </a:r>
                <a:r>
                  <a:rPr lang="es-CO" b="1" baseline="-25000">
                    <a:solidFill>
                      <a:schemeClr val="tx1"/>
                    </a:solidFill>
                  </a:rPr>
                  <a:t>t</a:t>
                </a:r>
                <a:r>
                  <a:rPr lang="es-CO" b="1">
                    <a:solidFill>
                      <a:schemeClr val="tx1"/>
                    </a:solidFill>
                  </a:rPr>
                  <a:t> ($COP)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solidFill>
            <a:round/>
            <a:headEnd type="none"/>
            <a:tailEnd type="triangle"/>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s-CO"/>
          </a:p>
        </c:txPr>
        <c:crossAx val="41314888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CO"/>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0.06042</cdr:x>
      <cdr:y>0.7066</cdr:y>
    </cdr:from>
    <cdr:to>
      <cdr:x>0.12708</cdr:x>
      <cdr:y>0.81424</cdr:y>
    </cdr:to>
    <cdr:sp macro="" textlink="">
      <cdr:nvSpPr>
        <cdr:cNvPr id="2" name="CuadroTexto 1"/>
        <cdr:cNvSpPr txBox="1"/>
      </cdr:nvSpPr>
      <cdr:spPr>
        <a:xfrm xmlns:a="http://schemas.openxmlformats.org/drawingml/2006/main">
          <a:off x="276225" y="1938338"/>
          <a:ext cx="30480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O" sz="1100"/>
            <a:t>-y</a:t>
          </a:r>
        </a:p>
      </cdr:txBody>
    </cdr:sp>
  </cdr:relSizeAnchor>
  <cdr:relSizeAnchor xmlns:cdr="http://schemas.openxmlformats.org/drawingml/2006/chartDrawing">
    <cdr:from>
      <cdr:x>0.5125</cdr:x>
      <cdr:y>0.52951</cdr:y>
    </cdr:from>
    <cdr:to>
      <cdr:x>0.57917</cdr:x>
      <cdr:y>0.63715</cdr:y>
    </cdr:to>
    <cdr:sp macro="" textlink="">
      <cdr:nvSpPr>
        <cdr:cNvPr id="3" name="CuadroTexto 2"/>
        <cdr:cNvSpPr txBox="1"/>
      </cdr:nvSpPr>
      <cdr:spPr>
        <a:xfrm xmlns:a="http://schemas.openxmlformats.org/drawingml/2006/main">
          <a:off x="2343150" y="1452563"/>
          <a:ext cx="30480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O" sz="1100"/>
            <a:t>k</a:t>
          </a:r>
        </a:p>
      </cdr:txBody>
    </cdr:sp>
  </cdr:relSizeAnchor>
</c:userShapes>
</file>

<file path=word/drawings/drawing2.xml><?xml version="1.0" encoding="utf-8"?>
<c:userShapes xmlns:c="http://schemas.openxmlformats.org/drawingml/2006/chart">
  <cdr:relSizeAnchor xmlns:cdr="http://schemas.openxmlformats.org/drawingml/2006/chartDrawing">
    <cdr:from>
      <cdr:x>0.0625</cdr:x>
      <cdr:y>0.7066</cdr:y>
    </cdr:from>
    <cdr:to>
      <cdr:x>0.12708</cdr:x>
      <cdr:y>0.7934</cdr:y>
    </cdr:to>
    <cdr:sp macro="" textlink="">
      <cdr:nvSpPr>
        <cdr:cNvPr id="2" name="CuadroTexto 1"/>
        <cdr:cNvSpPr txBox="1"/>
      </cdr:nvSpPr>
      <cdr:spPr>
        <a:xfrm xmlns:a="http://schemas.openxmlformats.org/drawingml/2006/main">
          <a:off x="285750" y="1938338"/>
          <a:ext cx="29527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O" sz="1100"/>
            <a:t>-y</a:t>
          </a:r>
        </a:p>
      </cdr:txBody>
    </cdr:sp>
  </cdr:relSizeAnchor>
  <cdr:relSizeAnchor xmlns:cdr="http://schemas.openxmlformats.org/drawingml/2006/chartDrawing">
    <cdr:from>
      <cdr:x>0.51042</cdr:x>
      <cdr:y>0.52257</cdr:y>
    </cdr:from>
    <cdr:to>
      <cdr:x>0.575</cdr:x>
      <cdr:y>0.60938</cdr:y>
    </cdr:to>
    <cdr:sp macro="" textlink="">
      <cdr:nvSpPr>
        <cdr:cNvPr id="3" name="CuadroTexto 2"/>
        <cdr:cNvSpPr txBox="1"/>
      </cdr:nvSpPr>
      <cdr:spPr>
        <a:xfrm xmlns:a="http://schemas.openxmlformats.org/drawingml/2006/main">
          <a:off x="2333625" y="1433513"/>
          <a:ext cx="29527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O" sz="1100"/>
            <a:t>k</a:t>
          </a:r>
        </a:p>
      </cdr:txBody>
    </cdr:sp>
  </cdr:relSizeAnchor>
</c:userShapes>
</file>

<file path=word/drawings/drawing3.xml><?xml version="1.0" encoding="utf-8"?>
<c:userShapes xmlns:c="http://schemas.openxmlformats.org/drawingml/2006/chart">
  <cdr:relSizeAnchor xmlns:cdr="http://schemas.openxmlformats.org/drawingml/2006/chartDrawing">
    <cdr:from>
      <cdr:x>0.06042</cdr:x>
      <cdr:y>0.7066</cdr:y>
    </cdr:from>
    <cdr:to>
      <cdr:x>0.12708</cdr:x>
      <cdr:y>0.81424</cdr:y>
    </cdr:to>
    <cdr:sp macro="" textlink="">
      <cdr:nvSpPr>
        <cdr:cNvPr id="2" name="CuadroTexto 1"/>
        <cdr:cNvSpPr txBox="1"/>
      </cdr:nvSpPr>
      <cdr:spPr>
        <a:xfrm xmlns:a="http://schemas.openxmlformats.org/drawingml/2006/main">
          <a:off x="276225" y="1938338"/>
          <a:ext cx="30480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O" sz="1100"/>
            <a:t>-y</a:t>
          </a:r>
        </a:p>
      </cdr:txBody>
    </cdr:sp>
  </cdr:relSizeAnchor>
  <cdr:relSizeAnchor xmlns:cdr="http://schemas.openxmlformats.org/drawingml/2006/chartDrawing">
    <cdr:from>
      <cdr:x>0.5125</cdr:x>
      <cdr:y>0.52951</cdr:y>
    </cdr:from>
    <cdr:to>
      <cdr:x>0.57917</cdr:x>
      <cdr:y>0.63715</cdr:y>
    </cdr:to>
    <cdr:sp macro="" textlink="">
      <cdr:nvSpPr>
        <cdr:cNvPr id="3" name="CuadroTexto 2"/>
        <cdr:cNvSpPr txBox="1"/>
      </cdr:nvSpPr>
      <cdr:spPr>
        <a:xfrm xmlns:a="http://schemas.openxmlformats.org/drawingml/2006/main">
          <a:off x="2343150" y="1452563"/>
          <a:ext cx="304800" cy="2952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CO" sz="1100"/>
            <a:t>k</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Ara19</b:Tag>
    <b:SourceType>InternetSite</b:SourceType>
    <b:Guid>{26D893CB-4DB0-4AEC-9035-470BE95F9544}</b:Guid>
    <b:Author>
      <b:Author>
        <b:NameList>
          <b:Person>
            <b:Last>Arango</b:Last>
            <b:First>M.</b:First>
            <b:Middle>M.</b:Middle>
          </b:Person>
          <b:Person>
            <b:Last>Arango</b:Last>
            <b:First>J.</b:First>
            <b:Middle>C.</b:Middle>
          </b:Person>
          <b:Person>
            <b:Last>Londoño</b:Last>
            <b:First>J.</b:First>
            <b:Middle>G.</b:Middle>
          </b:Person>
        </b:NameList>
      </b:Author>
    </b:Author>
    <b:Title>La Energía Eléctrica en la Globalización e Integración de Mercados Eléctricos</b:Title>
    <b:Year>2019</b:Year>
    <b:Month>April</b:Month>
    <b:Day>18</b:Day>
    <b:URL>https://dialnet.unirioja.es/descarga/articulo/4834382.pdf</b:URL>
    <b:LCID>en-US</b:LCID>
    <b:RefOrder>2</b:RefOrder>
  </b:Source>
  <b:Source>
    <b:Tag>Uni19</b:Tag>
    <b:SourceType>InternetSite</b:SourceType>
    <b:Guid>{8244DE22-2705-4CD3-94B0-C1B1E6341161}</b:Guid>
    <b:LCID>en-US</b:LCID>
    <b:Author>
      <b:Author>
        <b:Corporate>United Nations Development Programme</b:Corporate>
      </b:Author>
    </b:Author>
    <b:Title>Human Development Report 1998</b:Title>
    <b:Year>2019</b:Year>
    <b:Month>April</b:Month>
    <b:Day>18</b:Day>
    <b:URL>http://hdr.undp.org/sites/default/files/reports/259/hdr_1998_en_complete_nostats.pdf</b:URL>
    <b:RefOrder>1</b:RefOrder>
  </b:Source>
  <b:Source>
    <b:Tag>KDi94</b:Tag>
    <b:SourceType>Book</b:SourceType>
    <b:Guid>{C28B45F8-55DA-4EBD-AB95-29263D3150F9}</b:Guid>
    <b:Author>
      <b:Author>
        <b:NameList>
          <b:Person>
            <b:Last>Dixit</b:Last>
            <b:First>A.</b:First>
            <b:Middle>K.</b:Middle>
          </b:Person>
          <b:Person>
            <b:Last>Pindyck</b:Last>
            <b:First>R.</b:First>
            <b:Middle>S.</b:Middle>
          </b:Person>
        </b:NameList>
      </b:Author>
    </b:Author>
    <b:Title>Investment Under Uncertainty</b:Title>
    <b:Year>1994</b:Year>
    <b:City>New Jersey</b:City>
    <b:Publisher>Princeton University Press</b:Publisher>
    <b:RefOrder>6</b:RefOrder>
  </b:Source>
  <b:Source>
    <b:Tag>Gon</b:Tag>
    <b:SourceType>DocumentFromInternetSite</b:SourceType>
    <b:Guid>{164A84EC-80AE-4CE7-9254-451D0CFEC24D}</b:Guid>
    <b:Title>Evaluación de la Afectación Territorial de los Fenómenos de El Niño/La Niña y Análisis de la Confiabilidad de la Predicción Climática Basada en la Presencia de un Evento</b:Title>
    <b:Author>
      <b:Author>
        <b:NameList>
          <b:Person>
            <b:Last>González</b:Last>
            <b:First>Olga</b:First>
            <b:Middle>Cecilia</b:Middle>
          </b:Person>
          <b:Person>
            <b:Last>Hurtado</b:Last>
            <b:First>Gonzalo</b:First>
          </b:Person>
        </b:NameList>
      </b:Author>
    </b:Author>
    <b:URL>http://www.ideam.gov.co/documents/21021/440517/Evaluaci%C3%B3n+de+la+Afectaci%C3%B3n+Territorial.pdf</b:URL>
    <b:RefOrder>4</b:RefOrder>
  </b:Source>
  <b:Source>
    <b:Tag>Cab16</b:Tag>
    <b:SourceType>DocumentFromInternetSite</b:SourceType>
    <b:Guid>{F52742BA-241C-4FBB-ABCC-F38F202DE07B}</b:Guid>
    <b:LCID>en-US</b:LCID>
    <b:Title>A methodology for option pricing in electricity markets Case of study: Colombia</b:Title>
    <b:Year>2016</b:Year>
    <b:Month>December</b:Month>
    <b:Day>2</b:Day>
    <b:Author>
      <b:Author>
        <b:NameList>
          <b:Person>
            <b:Last>Cabrales</b:Last>
            <b:First>S.</b:First>
          </b:Person>
          <b:Person>
            <b:Last>Uriza</b:Last>
            <b:First>P.A.</b:First>
          </b:Person>
        </b:NameList>
      </b:Author>
    </b:Author>
    <b:RefOrder>7</b:RefOrder>
  </b:Source>
  <b:Source>
    <b:Tag>Pac19</b:Tag>
    <b:SourceType>DocumentFromInternetSite</b:SourceType>
    <b:Guid>{9910CF58-9354-48E8-871C-0F66FB8776F9}</b:Guid>
    <b:LCID>en-US</b:LCID>
    <b:Title>Package 'forecast'</b:Title>
    <b:Year>2019</b:Year>
    <b:Month>April</b:Month>
    <b:Day>29</b:Day>
    <b:URL>https://cran.r-project.org/web/packages/forecast/forecast.pdf</b:URL>
    <b:RefOrder>8</b:RefOrder>
  </b:Source>
  <b:Source>
    <b:Tag>Har08</b:Tag>
    <b:SourceType>DocumentFromInternetSite</b:SourceType>
    <b:Guid>{7723B7D7-86DC-4738-B266-C5C77F7F8360}</b:Guid>
    <b:Title>Review of Colombian Auctions for Firm Energy</b:Title>
    <b:Year>2008</b:Year>
    <b:LCID>en-US</b:LCID>
    <b:Author>
      <b:Author>
        <b:NameList>
          <b:Person>
            <b:Last>Harbord</b:Last>
            <b:First>D.</b:First>
          </b:Person>
          <b:Person>
            <b:Last>Pagnozzi</b:Last>
            <b:First>M.</b:First>
          </b:Person>
        </b:NameList>
      </b:Author>
    </b:Author>
    <b:Month>November</b:Month>
    <b:Day>25</b:Day>
    <b:URL>http://www.market-analysis.co.uk/PDF/Reports/ColombianOEFAuctionsReport-25-11-08%20Final.pdf</b:URL>
    <b:RefOrder>5</b:RefOrder>
  </b:Source>
  <b:Source>
    <b:Tag>XM17</b:Tag>
    <b:SourceType>DocumentFromInternetSite</b:SourceType>
    <b:Guid>{115D59D7-5D70-416A-B0A3-7808E73FB783}</b:Guid>
    <b:LCID>en-US</b:LCID>
    <b:Author>
      <b:Author>
        <b:Corporate>XM</b:Corporate>
      </b:Author>
    </b:Author>
    <b:Title>Informe de operación del SIN y Administración del Mercado 2017</b:Title>
    <b:Year>2017</b:Year>
    <b:URL>http://informesanuales.xm.com.co/2017/SitePages/operacion/Default.aspx</b:URL>
    <b:RefOrder>3</b:RefOrder>
  </b:Source>
</b:Sources>
</file>

<file path=customXml/itemProps1.xml><?xml version="1.0" encoding="utf-8"?>
<ds:datastoreItem xmlns:ds="http://schemas.openxmlformats.org/officeDocument/2006/customXml" ds:itemID="{415762BC-6E05-4BB4-B35D-CE5BC3E4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13</Pages>
  <Words>4775</Words>
  <Characters>26265</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Jose Casado Sanchez</dc:creator>
  <cp:keywords/>
  <dc:description/>
  <cp:lastModifiedBy>Manuel Jose Casado Sanchez</cp:lastModifiedBy>
  <cp:revision>230</cp:revision>
  <dcterms:created xsi:type="dcterms:W3CDTF">2019-04-30T17:06:00Z</dcterms:created>
  <dcterms:modified xsi:type="dcterms:W3CDTF">2019-05-07T03:02:00Z</dcterms:modified>
</cp:coreProperties>
</file>