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6250B024" w14:textId="101EBF2C" w:rsidR="004000E0" w:rsidRDefault="009D6FF7" w:rsidP="00D879E8">
      <w:pPr>
        <w:spacing w:after="0"/>
        <w:jc w:val="both"/>
        <w:rPr>
          <w:rFonts w:ascii="Verdana" w:hAnsi="Verdana"/>
        </w:rPr>
      </w:pPr>
      <w:r w:rsidRPr="009D6FF7">
        <w:rPr>
          <w:rFonts w:ascii="Verdana" w:hAnsi="Verdana"/>
        </w:rPr>
        <w:t>Que el comportamiento de la {{VARIABLE}} para el(los) mes(es) {{MESES}} de {{AÑO}}, de acuerdo con la información preliminar disponible en nuestro banco de datos de la estación meteorológica {{ESTACION}} (coordenadas geográficas {{LATITUD}} de latitud norte, {{LONGITUD}} de longitud oeste, elevación {{ALTITUD}} metros.), ubicada en el municipio {{MUNICIPIO}}, departamento de {{DEPARTAMENTO}}, estación más cercana a la zona de su interés, fue el siguiente:</w:t>
      </w:r>
    </w:p>
    <w:p w14:paraId="2C9D1D31" w14:textId="77777777" w:rsidR="009D6FF7" w:rsidRDefault="009D6FF7" w:rsidP="00D879E8">
      <w:pPr>
        <w:spacing w:after="0"/>
        <w:jc w:val="both"/>
        <w:rPr>
          <w:rFonts w:ascii="Verdana" w:hAnsi="Verdana"/>
        </w:rPr>
      </w:pPr>
    </w:p>
    <w:p w14:paraId="36849F3B" w14:textId="3E73249F"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15949FBE" w14:textId="77777777" w:rsidR="004000E0" w:rsidRDefault="004000E0" w:rsidP="000A4A28">
      <w:pPr>
        <w:contextualSpacing/>
        <w:jc w:val="both"/>
        <w:rPr>
          <w:rFonts w:ascii="Verdana" w:hAnsi="Verdana"/>
        </w:rPr>
      </w:pP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lastRenderedPageBreak/>
        <w:t>La velocidad del viento se evalúa usando una escala de 0-12 con base en claves visuales desarrolladas originalmente en 1806 por Sir Francis Beaufort. Él, desarrollo un sistema para clasificar la intensidad del viento de forma empírica 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0ED0D3BD"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4000E0">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4000E0">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F7548E">
        <w:rPr>
          <w:rFonts w:ascii="Verdana" w:hAnsi="Verdana"/>
          <w:noProof/>
        </w:rPr>
        <w:t>8 de agosto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lastRenderedPageBreak/>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00510425" w14:textId="77777777" w:rsidR="00DE351F" w:rsidRPr="003B0342" w:rsidRDefault="00DE351F"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1123A670" w14:textId="77777777" w:rsidR="003B0342" w:rsidRPr="003B0342" w:rsidRDefault="003B0342" w:rsidP="003B0342">
      <w:pPr>
        <w:pStyle w:val="BodyText"/>
        <w:contextualSpacing/>
        <w:jc w:val="left"/>
        <w:rPr>
          <w:rFonts w:ascii="Verdana" w:hAnsi="Verdana" w:cs="Arial"/>
          <w:b/>
          <w:sz w:val="22"/>
          <w:szCs w:val="22"/>
        </w:rPr>
      </w:pPr>
      <w:bookmarkStart w:id="0" w:name="_Hlk118296275"/>
      <w:r w:rsidRPr="003B0342">
        <w:rPr>
          <w:rFonts w:ascii="Verdana" w:hAnsi="Verdana" w:cs="Arial"/>
          <w:b/>
          <w:sz w:val="22"/>
          <w:szCs w:val="22"/>
        </w:rPr>
        <w:t xml:space="preserve">Teniente </w:t>
      </w:r>
      <w:proofErr w:type="gramStart"/>
      <w:r w:rsidRPr="003B0342">
        <w:rPr>
          <w:rFonts w:ascii="Verdana" w:hAnsi="Verdana" w:cs="Arial"/>
          <w:b/>
          <w:sz w:val="22"/>
          <w:szCs w:val="22"/>
        </w:rPr>
        <w:t>Coronel</w:t>
      </w:r>
      <w:proofErr w:type="gramEnd"/>
      <w:r w:rsidRPr="003B0342">
        <w:rPr>
          <w:rFonts w:ascii="Verdana" w:hAnsi="Verdana" w:cs="Arial"/>
          <w:b/>
          <w:sz w:val="22"/>
          <w:szCs w:val="22"/>
        </w:rPr>
        <w:t xml:space="preserve"> JORGE GIOVANNI JIMÉNEZ SÁNCHEZ </w:t>
      </w:r>
    </w:p>
    <w:p w14:paraId="1FB4BFFA" w14:textId="77777777" w:rsidR="003B0342" w:rsidRPr="003B0342" w:rsidRDefault="003B0342" w:rsidP="003B0342">
      <w:pPr>
        <w:pStyle w:val="BodyText"/>
        <w:contextualSpacing/>
        <w:jc w:val="left"/>
        <w:rPr>
          <w:rFonts w:ascii="Verdana" w:hAnsi="Verdana" w:cs="Arial"/>
          <w:sz w:val="22"/>
          <w:szCs w:val="22"/>
        </w:rPr>
      </w:pPr>
      <w:r w:rsidRPr="003B0342">
        <w:rPr>
          <w:rFonts w:ascii="Verdana" w:hAnsi="Verdana" w:cs="Arial"/>
          <w:sz w:val="22"/>
          <w:szCs w:val="22"/>
        </w:rPr>
        <w:t xml:space="preserve">Subdirector de Meteorología  </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bookmarkEnd w:id="0"/>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EE696" w14:textId="77777777" w:rsidR="006E2988" w:rsidRDefault="006E2988" w:rsidP="00757B36">
      <w:pPr>
        <w:spacing w:after="0" w:line="240" w:lineRule="auto"/>
      </w:pPr>
      <w:r>
        <w:separator/>
      </w:r>
    </w:p>
  </w:endnote>
  <w:endnote w:type="continuationSeparator" w:id="0">
    <w:p w14:paraId="69DC4846" w14:textId="77777777" w:rsidR="006E2988" w:rsidRDefault="006E2988"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E5FA9" w14:textId="77777777" w:rsidR="006E2988" w:rsidRDefault="006E2988" w:rsidP="00757B36">
      <w:pPr>
        <w:spacing w:after="0" w:line="240" w:lineRule="auto"/>
      </w:pPr>
      <w:r>
        <w:separator/>
      </w:r>
    </w:p>
  </w:footnote>
  <w:footnote w:type="continuationSeparator" w:id="0">
    <w:p w14:paraId="1FB07828" w14:textId="77777777" w:rsidR="006E2988" w:rsidRDefault="006E2988"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0B073A"/>
    <w:rsid w:val="00112C91"/>
    <w:rsid w:val="00132EBE"/>
    <w:rsid w:val="00152454"/>
    <w:rsid w:val="00170C07"/>
    <w:rsid w:val="001E28C4"/>
    <w:rsid w:val="001F1CF3"/>
    <w:rsid w:val="002206EB"/>
    <w:rsid w:val="00221BD3"/>
    <w:rsid w:val="00223817"/>
    <w:rsid w:val="00255542"/>
    <w:rsid w:val="00256928"/>
    <w:rsid w:val="00290BE0"/>
    <w:rsid w:val="0030489C"/>
    <w:rsid w:val="0031443A"/>
    <w:rsid w:val="00325E18"/>
    <w:rsid w:val="0038435E"/>
    <w:rsid w:val="0038765C"/>
    <w:rsid w:val="003A4594"/>
    <w:rsid w:val="003B0342"/>
    <w:rsid w:val="003C3927"/>
    <w:rsid w:val="004000E0"/>
    <w:rsid w:val="00417ECC"/>
    <w:rsid w:val="00436E05"/>
    <w:rsid w:val="00464307"/>
    <w:rsid w:val="00480D7C"/>
    <w:rsid w:val="00490BC4"/>
    <w:rsid w:val="00497207"/>
    <w:rsid w:val="004C6A62"/>
    <w:rsid w:val="004E06BD"/>
    <w:rsid w:val="00510CD3"/>
    <w:rsid w:val="00585914"/>
    <w:rsid w:val="005F508C"/>
    <w:rsid w:val="0064339E"/>
    <w:rsid w:val="006449A5"/>
    <w:rsid w:val="0066033D"/>
    <w:rsid w:val="006669E2"/>
    <w:rsid w:val="006A398B"/>
    <w:rsid w:val="006B4D8F"/>
    <w:rsid w:val="006D040A"/>
    <w:rsid w:val="006E2988"/>
    <w:rsid w:val="00736CC8"/>
    <w:rsid w:val="00757B36"/>
    <w:rsid w:val="007D19B0"/>
    <w:rsid w:val="008116CB"/>
    <w:rsid w:val="00833DB3"/>
    <w:rsid w:val="0083433C"/>
    <w:rsid w:val="00835BF5"/>
    <w:rsid w:val="0087303F"/>
    <w:rsid w:val="00884DE7"/>
    <w:rsid w:val="008B25A1"/>
    <w:rsid w:val="008B6709"/>
    <w:rsid w:val="008D747C"/>
    <w:rsid w:val="009358EB"/>
    <w:rsid w:val="009D6FF7"/>
    <w:rsid w:val="009D7E48"/>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 w:type="table" w:styleId="TableGrid">
    <w:name w:val="Table Grid"/>
    <w:basedOn w:val="TableNormal"/>
    <w:uiPriority w:val="39"/>
    <w:rsid w:val="004000E0"/>
    <w:pPr>
      <w:spacing w:after="0" w:line="240" w:lineRule="auto"/>
    </w:pPr>
    <w:rPr>
      <w:rFonts w:ascii="Verdana" w:hAnsi="Verdana"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844</Words>
  <Characters>4646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2</cp:revision>
  <cp:lastPrinted>2023-12-05T14:50:00Z</cp:lastPrinted>
  <dcterms:created xsi:type="dcterms:W3CDTF">2024-08-08T12:31:00Z</dcterms:created>
  <dcterms:modified xsi:type="dcterms:W3CDTF">2024-08-08T12:31:00Z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