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International travel is not just logistics; it is a physiological assault. Even before the athlete steps onto the field, the combination of hypobaric hypoxia, cabin desiccation, and circadian disruption actively degrades their performance capacity.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protect the athlete's readiness, we must shift from passively tracking their data to actively anticipating and neutralizing the stress of travel. Here is the framework for monitoring, predicting, and stabilizing their physiological markers.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The Travel "Watchlist": Core Indicators to Maintain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physiological markers are maintained during the flight and immediately upon arrival, we must continuously monitor these specific parameters:</w:t>
      </w:r>
    </w:p>
    <w:p w:rsidR="00000000" w:rsidDel="00000000" w:rsidP="00000000" w:rsidRDefault="00000000" w:rsidRPr="00000000" w14:paraId="0000000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Peripheral Capillary Oxygen Saturation ($SpO_2$):</w:t>
      </w:r>
      <w:r w:rsidDel="00000000" w:rsidR="00000000" w:rsidRPr="00000000">
        <w:rPr>
          <w:rFonts w:ascii="Arial" w:cs="Arial" w:eastAsia="Arial" w:hAnsi="Arial"/>
          <w:rtl w:val="0"/>
        </w:rPr>
        <w:t xml:space="preserve"> Commercial aircraft cabins are pressurized to roughly 1500 to 2400 meters, inducing mild hypobaric hypoxia. Monitoring $SpO_2$ ensures the athlete isn't suffering from severe oxygen desaturation, which spikes cortisol and directly suppresses recovery.</w:t>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Heart Rate Variability (HRV):</w:t>
      </w:r>
      <w:r w:rsidDel="00000000" w:rsidR="00000000" w:rsidRPr="00000000">
        <w:rPr>
          <w:rFonts w:ascii="Arial" w:cs="Arial" w:eastAsia="Arial" w:hAnsi="Arial"/>
          <w:rtl w:val="0"/>
        </w:rPr>
        <w:t xml:space="preserve"> Specifically, tracking the RMSSD during structured rest periods on the flight. This acts as a window into their autonomic nervous system. A rapid drop indicates accumulating central nervous system fatigue.</w:t>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Skin Temperature ($T_{skin}$):</w:t>
      </w:r>
      <w:r w:rsidDel="00000000" w:rsidR="00000000" w:rsidRPr="00000000">
        <w:rPr>
          <w:rFonts w:ascii="Arial" w:cs="Arial" w:eastAsia="Arial" w:hAnsi="Arial"/>
          <w:rtl w:val="0"/>
        </w:rPr>
        <w:t xml:space="preserve"> This is the most practical wearable proxy for core body temperature, which dictates the athlete's circadian rhythm phase and the exact timing of their Dim Light Melatonin Onset (DLMO).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Predictive Algorithm: The Travel Allostatic Load (TAL)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We need a predictive mathematical model to estimate the biological tax of the journey before they even board. When crossing time zones—such as a manageable 2.5-hour westward transition—the severe circadian disruption of eastward travel is avoided, but the biological friction of the cabin environment itself remains high. We can calculate the predicted percentage drop in baseline HRV ($\Delta HRV_{pred}$) using a multifactorial equation: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$$\Delta HRV_{pred} = -\left[ (k_1 \cdot \Delta TZ_{dir}) + (k_2 \cdot T_{flight}) + (k_3 \cdot \Delta Alt_{cabin}) \right]$$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$\Delta TZ_{dir}$ represents the time zones crossed, multiplied by a directional constant (e.g., 0.5 for westward travel, 1.5 for eastward, as westward travel extends the biological day and is easier to adapt to).</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$T_{flight}$ is the total flight duration in hours.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$\Delta Alt_{cabin}$ is the cabin altitude severity measured in meters above sea level divided by 1000.</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$k_1, k_2, k_3$ are individual vulnerability coefficients derived from the athlete's historical travel and wearable data.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rPr>
          <w:rFonts w:ascii="Arial" w:cs="Arial" w:eastAsia="Arial" w:hAnsi="Arial"/>
          <w:b w:val="1"/>
          <w:bCs w:val="1"/>
          <w:i w:val="0"/>
          <w:iCs w:val="0"/>
          <w:sz w:val="28"/>
          <w:szCs w:val="28"/>
          <w:rtl w:val="0"/>
        </w:rPr>
        <w:t xml:space="preserve">Stability Algorithm: The Homeostatic Maintenance Protocol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the data points stay stable pre-, during, and post-travel, we do not just predict; we actively control. This requires a dynamic, threshold-based algorithm. If a real-time data point ($S_t$) deviates from their established homeostatic baseline ($S_0$) beyond an acceptable threshold ($\theta$), an acute intervention is triggered.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$$\text{Intervention} = \begin{cases} \text{Melatonin + Ambient Temp Drop}, &amp; \text{if } T_{skin} \text{ indicates circadian advance is needed} \\ \text{Bright Light Exposure + Caffeine}, &amp; \text{if } T_{skin} \text{ indicates circadian delay is needed} \\ \text{750mL Electrolyte Bolus}, \Delta \text{BodyMass} &lt; -1\% \end{cases}$$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Furthermore, if the wearable detects that their RMSSD drops below their 7-day rolling average standard deviation ($\mu_{7} - \sigma_{7}$) while in transit, we immediately deploy in-flight parasympathetic triggers. This could include paced resonance breathing (e.g., 5.5 breaths per minute) or utilizing pneumatic compression garments to forcefully stabilize the autonomic nervous system.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sz w:val="28"/>
          <w:szCs w:val="28"/>
          <w:rtl w:val="0"/>
        </w:rPr>
        <w:t xml:space="preserve">Peer-Reviewed Foundations &amp; Literature</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Travel Fatigue &amp; Circadian Misalignment in Athletes:</w:t>
      </w:r>
      <w:r w:rsidDel="00000000" w:rsidR="00000000" w:rsidRPr="00000000">
        <w:rPr>
          <w:rFonts w:ascii="Arial" w:cs="Arial" w:eastAsia="Arial" w:hAnsi="Arial"/>
          <w:rtl w:val="0"/>
        </w:rPr>
        <w:t xml:space="preserve"> Guidelines on distinguishing travel fatigue (from cabin conditions) versus true jet lag, and establishing protocols for light exposure and sleep hygiene.</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Managing Travel Fatigue and Jet Lag in Athletes: A Review and Consensus Statement.</w:t>
      </w:r>
      <w:r w:rsidDel="00000000" w:rsidR="00000000" w:rsidRPr="00000000">
        <w:rPr>
          <w:rFonts w:ascii="Arial" w:cs="Arial" w:eastAsia="Arial" w:hAnsi="Arial"/>
          <w:rtl w:val="0"/>
        </w:rPr>
        <w:t xml:space="preserve"> </w:t>
      </w:r>
      <w:hyperlink r:id="rId6">
        <w:r w:rsidDel="00000000" w:rsidR="00000000" w:rsidRPr="00000000">
          <w:rPr>
            <w:rFonts w:ascii="Arial" w:cs="Arial" w:eastAsia="Arial" w:hAnsi="Arial"/>
            <w:color w:val="0000ee"/>
            <w:u w:val="single"/>
            <w:rtl w:val="0"/>
          </w:rPr>
          <w:t xml:space="preserve">PMC8279034</w:t>
        </w:r>
      </w:hyperlink>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Cabin Pressure &amp; Hypobaric Hypoxia:</w:t>
      </w:r>
      <w:r w:rsidDel="00000000" w:rsidR="00000000" w:rsidRPr="00000000">
        <w:rPr>
          <w:rFonts w:ascii="Arial" w:cs="Arial" w:eastAsia="Arial" w:hAnsi="Arial"/>
          <w:rtl w:val="0"/>
        </w:rPr>
        <w:t xml:space="preserve"> Research detailing the physiological response to commercial flight cabin pressures, including oxygen desaturation and the subsequent autonomic stress response.</w:t>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Medical issues associated with commercial flights.</w:t>
      </w:r>
      <w:r w:rsidDel="00000000" w:rsidR="00000000" w:rsidRPr="00000000">
        <w:rPr>
          <w:rFonts w:ascii="Arial" w:cs="Arial" w:eastAsia="Arial" w:hAnsi="Arial"/>
          <w:rtl w:val="0"/>
        </w:rPr>
        <w:t xml:space="preserve"> </w:t>
      </w:r>
      <w:hyperlink r:id="rId7">
        <w:r w:rsidDel="00000000" w:rsidR="00000000" w:rsidRPr="00000000">
          <w:rPr>
            <w:rFonts w:ascii="Arial" w:cs="Arial" w:eastAsia="Arial" w:hAnsi="Arial"/>
            <w:color w:val="0000ee"/>
            <w:u w:val="single"/>
            <w:rtl w:val="0"/>
          </w:rPr>
          <w:t xml:space="preserve">PMC7137984</w:t>
        </w:r>
      </w:hyperlink>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Sleep Architecture and Long-Haul Transit:</w:t>
      </w:r>
      <w:r w:rsidDel="00000000" w:rsidR="00000000" w:rsidRPr="00000000">
        <w:rPr>
          <w:rFonts w:ascii="Arial" w:cs="Arial" w:eastAsia="Arial" w:hAnsi="Arial"/>
          <w:rtl w:val="0"/>
        </w:rPr>
        <w:t xml:space="preserve"> The impact of crossing time zones on total sleep time, sleep efficiency, and fatigue markers in elite athletic populations.</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i w:val="1"/>
          <w:iCs w:val="1"/>
          <w:rtl w:val="0"/>
        </w:rPr>
        <w:t xml:space="preserve">The impact of long haul travel on the sleep of elite athletes.</w:t>
      </w:r>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0000ee"/>
            <w:u w:val="single"/>
            <w:rtl w:val="0"/>
          </w:rPr>
          <w:t xml:space="preserve">PMC10520441</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color w:val="0000ee"/>
          <w:u w:val="single"/>
        </w:rPr>
      </w:pPr>
      <w:r w:rsidDel="00000000" w:rsidR="00000000" w:rsidRPr="00000000">
        <w:rPr>
          <w:rtl w:val="0"/>
        </w:rPr>
      </w:r>
    </w:p>
    <w:p w:rsidR="00000000" w:rsidDel="00000000" w:rsidP="00000000" w:rsidRDefault="00000000" w:rsidRPr="00000000" w14:paraId="0000001E">
      <w:pPr>
        <w:pStyle w:val="Heading3"/>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Core Threat Vectors (What to Monitor)</w:t>
      </w:r>
    </w:p>
    <w:p w:rsidR="00000000" w:rsidDel="00000000" w:rsidP="00000000" w:rsidRDefault="00000000" w:rsidRPr="00000000" w14:paraId="0000001F">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feed our stability algorithms, we must pull specific, continuous data streams from the athlete’s wearables and point-of-care testing:</w:t>
      </w:r>
    </w:p>
    <w:p w:rsidR="00000000" w:rsidDel="00000000" w:rsidP="00000000" w:rsidRDefault="00000000" w:rsidRPr="00000000" w14:paraId="00000020">
      <w:pPr>
        <w:numPr>
          <w:ilvl w:val="0"/>
          <w:numId w:val="4"/>
        </w:numPr>
        <w:spacing w:line="275.9999942779541" w:lineRule="auto"/>
        <w:ind w:left="600" w:hanging="360"/>
      </w:pPr>
      <w:r w:rsidDel="00000000" w:rsidR="00000000" w:rsidRPr="00000000">
        <w:rPr>
          <w:rFonts w:ascii="Google Sans" w:cs="Google Sans" w:eastAsia="Google Sans" w:hAnsi="Google Sans"/>
          <w:b w:val="1"/>
          <w:bCs w:val="1"/>
          <w:rtl w:val="0"/>
        </w:rPr>
        <w:t xml:space="preserve">$SpO_2$ (Peripheral Oxygen Saturation):</w:t>
      </w:r>
      <w:r w:rsidDel="00000000" w:rsidR="00000000" w:rsidRPr="00000000">
        <w:rPr>
          <w:rFonts w:ascii="Google Sans" w:cs="Google Sans" w:eastAsia="Google Sans" w:hAnsi="Google Sans"/>
          <w:rtl w:val="0"/>
        </w:rPr>
        <w:t xml:space="preserve"> Commercial cabins are pressurized to approximately 8,000 feet (2,438 meters), dropping arterial oxygen saturation.</w:t>
      </w:r>
    </w:p>
    <w:p w:rsidR="00000000" w:rsidDel="00000000" w:rsidP="00000000" w:rsidRDefault="00000000" w:rsidRPr="00000000" w14:paraId="00000021">
      <w:pPr>
        <w:numPr>
          <w:ilvl w:val="0"/>
          <w:numId w:val="4"/>
        </w:numPr>
        <w:spacing w:line="275.9999942779541" w:lineRule="auto"/>
        <w:ind w:left="600" w:hanging="360"/>
      </w:pPr>
      <w:r w:rsidDel="00000000" w:rsidR="00000000" w:rsidRPr="00000000">
        <w:rPr>
          <w:rFonts w:ascii="Google Sans" w:cs="Google Sans" w:eastAsia="Google Sans" w:hAnsi="Google Sans"/>
          <w:b w:val="1"/>
          <w:bCs w:val="1"/>
          <w:rtl w:val="0"/>
        </w:rPr>
        <w:t xml:space="preserve">Muscle Blood Flow / Venous Return:</w:t>
      </w:r>
      <w:r w:rsidDel="00000000" w:rsidR="00000000" w:rsidRPr="00000000">
        <w:rPr>
          <w:rFonts w:ascii="Google Sans" w:cs="Google Sans" w:eastAsia="Google Sans" w:hAnsi="Google Sans"/>
          <w:rtl w:val="0"/>
        </w:rPr>
        <w:t xml:space="preserve"> Tracked via wearable plethysmography or heart rate variability (HRV) metrics to monitor the pooling of blood in the lower extremities due to prolonged sitting.</w:t>
      </w:r>
    </w:p>
    <w:p w:rsidR="00000000" w:rsidDel="00000000" w:rsidP="00000000" w:rsidRDefault="00000000" w:rsidRPr="00000000" w14:paraId="00000022">
      <w:pPr>
        <w:numPr>
          <w:ilvl w:val="0"/>
          <w:numId w:val="4"/>
        </w:numPr>
        <w:spacing w:line="275.9999942779541" w:lineRule="auto"/>
        <w:ind w:left="600" w:hanging="360"/>
      </w:pPr>
      <w:r w:rsidDel="00000000" w:rsidR="00000000" w:rsidRPr="00000000">
        <w:rPr>
          <w:rFonts w:ascii="Google Sans" w:cs="Google Sans" w:eastAsia="Google Sans" w:hAnsi="Google Sans"/>
          <w:b w:val="1"/>
          <w:bCs w:val="1"/>
          <w:rtl w:val="0"/>
        </w:rPr>
        <w:t xml:space="preserve">$T_{skin}$ (Skin Temperature) &amp; Activity Accelerometry:</w:t>
      </w:r>
      <w:r w:rsidDel="00000000" w:rsidR="00000000" w:rsidRPr="00000000">
        <w:rPr>
          <w:rFonts w:ascii="Google Sans" w:cs="Google Sans" w:eastAsia="Google Sans" w:hAnsi="Google Sans"/>
          <w:rtl w:val="0"/>
        </w:rPr>
        <w:t xml:space="preserve"> To monitor circadian rhythm phase and objectively track sleep onset/efficiency during the travel window.</w:t>
      </w:r>
    </w:p>
    <w:p w:rsidR="00000000" w:rsidDel="00000000" w:rsidP="00000000" w:rsidRDefault="00000000" w:rsidRPr="00000000" w14:paraId="00000023">
      <w:pPr>
        <w:pStyle w:val="Heading3"/>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The Predictive Algorithm: Travel Degradation Index ($TDI$)</w:t>
      </w:r>
    </w:p>
    <w:p w:rsidR="00000000" w:rsidDel="00000000" w:rsidP="00000000" w:rsidRDefault="00000000" w:rsidRPr="00000000" w14:paraId="00000024">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the athlete boards the plane, we calculate the predicted biological cost of the journey. The $TDI$ estimates the expected percentage drop in systemic readiness (anchored by HRV) if no interventions are applied.</w:t>
      </w:r>
    </w:p>
    <w:p w:rsidR="00000000" w:rsidDel="00000000" w:rsidP="00000000" w:rsidRDefault="00000000" w:rsidRPr="00000000" w14:paraId="00000025">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$$TDI = \left[ \alpha \cdot \left( 1 - \frac{P_{cabin}}{P_{norm}} \right) \right] + \left[ \beta \cdot (T_{flight} \cdot V_{stasis}) \right] + \left[ \gamma \cdot (\Delta TZ_{dir}) \right]$$</w:t>
      </w:r>
    </w:p>
    <w:p w:rsidR="00000000" w:rsidDel="00000000" w:rsidP="00000000" w:rsidRDefault="00000000" w:rsidRPr="00000000" w14:paraId="00000027">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Where:</w:t>
      </w:r>
    </w:p>
    <w:p w:rsidR="00000000" w:rsidDel="00000000" w:rsidP="00000000" w:rsidRDefault="00000000" w:rsidRPr="00000000" w14:paraId="00000028">
      <w:pPr>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Hypoxic Tax ($\alpha$):</w:t>
      </w:r>
      <w:r w:rsidDel="00000000" w:rsidR="00000000" w:rsidRPr="00000000">
        <w:rPr>
          <w:rFonts w:ascii="Google Sans" w:cs="Google Sans" w:eastAsia="Google Sans" w:hAnsi="Google Sans"/>
          <w:rtl w:val="0"/>
        </w:rPr>
        <w:t xml:space="preserve"> $P_{cabin}$ is the expected cabin pressure, and $P_{norm}$ is sea-level pressure. $\alpha$ is a weighting coefficient for oxygen sensitivity (typically $0.40$).</w:t>
      </w:r>
    </w:p>
    <w:p w:rsidR="00000000" w:rsidDel="00000000" w:rsidP="00000000" w:rsidRDefault="00000000" w:rsidRPr="00000000" w14:paraId="00000029">
      <w:pPr>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Kinematic Tax ($\beta$):</w:t>
      </w:r>
      <w:r w:rsidDel="00000000" w:rsidR="00000000" w:rsidRPr="00000000">
        <w:rPr>
          <w:rFonts w:ascii="Google Sans" w:cs="Google Sans" w:eastAsia="Google Sans" w:hAnsi="Google Sans"/>
          <w:rtl w:val="0"/>
        </w:rPr>
        <w:t xml:space="preserve"> $T_{flight}$ is the duration (e.g., 4 hours). $V_{stasis}$ represents the venous pooling penalty, weighted heavily if no compression garments are worn.</w:t>
      </w:r>
    </w:p>
    <w:p w:rsidR="00000000" w:rsidDel="00000000" w:rsidP="00000000" w:rsidRDefault="00000000" w:rsidRPr="00000000" w14:paraId="0000002A">
      <w:pPr>
        <w:numPr>
          <w:ilvl w:val="0"/>
          <w:numId w:val="5"/>
        </w:numPr>
        <w:spacing w:line="275.9999942779541" w:lineRule="auto"/>
        <w:ind w:left="600" w:hanging="360"/>
      </w:pPr>
      <w:r w:rsidDel="00000000" w:rsidR="00000000" w:rsidRPr="00000000">
        <w:rPr>
          <w:rFonts w:ascii="Google Sans" w:cs="Google Sans" w:eastAsia="Google Sans" w:hAnsi="Google Sans"/>
          <w:b w:val="1"/>
          <w:bCs w:val="1"/>
          <w:rtl w:val="0"/>
        </w:rPr>
        <w:t xml:space="preserve">Circadian Tax ($\gamma$):</w:t>
      </w:r>
      <w:r w:rsidDel="00000000" w:rsidR="00000000" w:rsidRPr="00000000">
        <w:rPr>
          <w:rFonts w:ascii="Google Sans" w:cs="Google Sans" w:eastAsia="Google Sans" w:hAnsi="Google Sans"/>
          <w:rtl w:val="0"/>
        </w:rPr>
        <w:t xml:space="preserve"> $\Delta TZ_{dir}$ is the time zone shift. Westward travel is mathematically penalized less heavily (coefficient of $0.5$) than eastward travel (coefficient of $1.5$) because delaying the biological clock is physiologically easier than advancing it.</w:t>
      </w:r>
    </w:p>
    <w:p w:rsidR="00000000" w:rsidDel="00000000" w:rsidP="00000000" w:rsidRDefault="00000000" w:rsidRPr="00000000" w14:paraId="0000002B">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Example Application:</w:t>
      </w:r>
      <w:r w:rsidDel="00000000" w:rsidR="00000000" w:rsidRPr="00000000">
        <w:rPr>
          <w:rFonts w:ascii="Google Sans" w:cs="Google Sans" w:eastAsia="Google Sans" w:hAnsi="Google Sans"/>
          <w:rtl w:val="0"/>
        </w:rPr>
        <w:t xml:space="preserve"> For a 4-hour westward flight crossing 2.5 time zones, the circadian tax is relatively low, but the hypoxic and kinematic taxes still yield a predicted $TDI$ of roughly an 8-12% drop in baseline readiness upon landing.</w:t>
      </w:r>
    </w:p>
    <w:p w:rsidR="00000000" w:rsidDel="00000000" w:rsidP="00000000" w:rsidRDefault="00000000" w:rsidRPr="00000000" w14:paraId="0000002C">
      <w:pPr>
        <w:pStyle w:val="Heading3"/>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The Stability Algorithm: Dynamic Homeostatic Stabilization ($DHS$)</w:t>
      </w:r>
    </w:p>
    <w:p w:rsidR="00000000" w:rsidDel="00000000" w:rsidP="00000000" w:rsidRDefault="00000000" w:rsidRPr="00000000" w14:paraId="0000002D">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Prediction is not enough; we must actively intervene. The $DHS$ algorithm runs continuously during travel. It calculates the real-time deviation ($Z$-score) of a current physiological marker ($S_{current}$) from the athlete's pre-travel baseline ($\mu_{baseline}$).</w:t>
      </w:r>
    </w:p>
    <w:p w:rsidR="00000000" w:rsidDel="00000000" w:rsidP="00000000" w:rsidRDefault="00000000" w:rsidRPr="00000000" w14:paraId="0000002E">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$$DHS_{trigger} = \left| \frac{S_{current} - \mu_{baseline}}{\sigma_{baseline}} \right|$$</w:t>
      </w:r>
    </w:p>
    <w:p w:rsidR="00000000" w:rsidDel="00000000" w:rsidP="00000000" w:rsidRDefault="00000000" w:rsidRPr="00000000" w14:paraId="00000030">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$DHS_{trigger}$ exceeds critical thresholds ($\Theta$), specific counter-measures are instantly deployed to force the body back into homeostasis:</w:t>
      </w:r>
    </w:p>
    <w:p w:rsidR="00000000" w:rsidDel="00000000" w:rsidP="00000000" w:rsidRDefault="00000000" w:rsidRPr="00000000" w14:paraId="00000031">
      <w:pPr>
        <w:numPr>
          <w:ilvl w:val="0"/>
          <w:numId w:val="6"/>
        </w:numPr>
        <w:spacing w:line="275.9999942779541" w:lineRule="auto"/>
        <w:ind w:left="600" w:hanging="360"/>
      </w:pPr>
      <w:r w:rsidDel="00000000" w:rsidR="00000000" w:rsidRPr="00000000">
        <w:rPr>
          <w:rFonts w:ascii="Google Sans" w:cs="Google Sans" w:eastAsia="Google Sans" w:hAnsi="Google Sans"/>
          <w:b w:val="1"/>
          <w:bCs w:val="1"/>
          <w:rtl w:val="0"/>
        </w:rPr>
        <w:t xml:space="preserve">Venous Stasis / Autonomic Trigger:</w:t>
      </w:r>
      <w:r w:rsidDel="00000000" w:rsidR="00000000" w:rsidRPr="00000000">
        <w:rPr>
          <w:rFonts w:ascii="Google Sans" w:cs="Google Sans" w:eastAsia="Google Sans" w:hAnsi="Google Sans"/>
          <w:rtl w:val="0"/>
        </w:rPr>
        <w:t xml:space="preserve"> If sitting time $&gt; 90$ minutes continuously, or if real-time RMSSD drops by $&gt; 1.5$ standard deviations.</w:t>
      </w:r>
    </w:p>
    <w:p w:rsidR="00000000" w:rsidDel="00000000" w:rsidP="00000000" w:rsidRDefault="00000000" w:rsidRPr="00000000" w14:paraId="00000032">
      <w:pPr>
        <w:numPr>
          <w:ilvl w:val="1"/>
          <w:numId w:val="8"/>
        </w:numPr>
        <w:spacing w:line="275.9999942779541" w:lineRule="auto"/>
        <w:ind w:left="1200" w:hanging="360"/>
      </w:pPr>
      <w:r w:rsidDel="00000000" w:rsidR="00000000" w:rsidRPr="00000000">
        <w:rPr>
          <w:rFonts w:ascii="Google Sans" w:cs="Google Sans" w:eastAsia="Google Sans" w:hAnsi="Google Sans"/>
          <w:i w:val="1"/>
          <w:iCs w:val="1"/>
          <w:rtl w:val="0"/>
        </w:rPr>
        <w:t xml:space="preserve">Intervention:</w:t>
      </w:r>
      <w:r w:rsidDel="00000000" w:rsidR="00000000" w:rsidRPr="00000000">
        <w:rPr>
          <w:rFonts w:ascii="Google Sans" w:cs="Google Sans" w:eastAsia="Google Sans" w:hAnsi="Google Sans"/>
          <w:rtl w:val="0"/>
        </w:rPr>
        <w:t xml:space="preserve"> Mandatory 5-minute mobilization protocol (aisle walking, isometric calf contractions) AND the donning of graduated sports compression tights (proven to increase deep venous velocity and reduce blood pooling).</w:t>
      </w:r>
    </w:p>
    <w:p w:rsidR="00000000" w:rsidDel="00000000" w:rsidP="00000000" w:rsidRDefault="00000000" w:rsidRPr="00000000" w14:paraId="00000033">
      <w:pPr>
        <w:numPr>
          <w:ilvl w:val="0"/>
          <w:numId w:val="6"/>
        </w:numPr>
        <w:spacing w:line="275.9999942779541" w:lineRule="auto"/>
        <w:ind w:left="600" w:hanging="360"/>
      </w:pPr>
      <w:r w:rsidDel="00000000" w:rsidR="00000000" w:rsidRPr="00000000">
        <w:rPr>
          <w:rFonts w:ascii="Google Sans" w:cs="Google Sans" w:eastAsia="Google Sans" w:hAnsi="Google Sans"/>
          <w:b w:val="1"/>
          <w:bCs w:val="1"/>
          <w:rtl w:val="0"/>
        </w:rPr>
        <w:t xml:space="preserve">Circadian / Sleep Trigger:</w:t>
      </w:r>
      <w:r w:rsidDel="00000000" w:rsidR="00000000" w:rsidRPr="00000000">
        <w:rPr>
          <w:rFonts w:ascii="Google Sans" w:cs="Google Sans" w:eastAsia="Google Sans" w:hAnsi="Google Sans"/>
          <w:rtl w:val="0"/>
        </w:rPr>
        <w:t xml:space="preserve"> If traveling westward, the goal is a phase delay.</w:t>
      </w:r>
    </w:p>
    <w:p w:rsidR="00000000" w:rsidDel="00000000" w:rsidP="00000000" w:rsidRDefault="00000000" w:rsidRPr="00000000" w14:paraId="00000034">
      <w:pPr>
        <w:numPr>
          <w:ilvl w:val="1"/>
          <w:numId w:val="9"/>
        </w:numPr>
        <w:spacing w:line="275.9999942779541" w:lineRule="auto"/>
        <w:ind w:left="1200" w:hanging="360"/>
      </w:pPr>
      <w:r w:rsidDel="00000000" w:rsidR="00000000" w:rsidRPr="00000000">
        <w:rPr>
          <w:rFonts w:ascii="Google Sans" w:cs="Google Sans" w:eastAsia="Google Sans" w:hAnsi="Google Sans"/>
          <w:i w:val="1"/>
          <w:iCs w:val="1"/>
          <w:rtl w:val="0"/>
        </w:rPr>
        <w:t xml:space="preserve">Intervention:</w:t>
      </w:r>
      <w:r w:rsidDel="00000000" w:rsidR="00000000" w:rsidRPr="00000000">
        <w:rPr>
          <w:rFonts w:ascii="Google Sans" w:cs="Google Sans" w:eastAsia="Google Sans" w:hAnsi="Google Sans"/>
          <w:rtl w:val="0"/>
        </w:rPr>
        <w:t xml:space="preserve"> Strategic bright light exposure during the early hours of the flight to suppress melatonin, followed by ambient temperature dropping and blue-light blocking glasses as they approach the destination's evening time.</w:t>
      </w:r>
    </w:p>
    <w:p w:rsidR="00000000" w:rsidDel="00000000" w:rsidP="00000000" w:rsidRDefault="00000000" w:rsidRPr="00000000" w14:paraId="00000035">
      <w:pPr>
        <w:pStyle w:val="Heading3"/>
        <w:spacing w:before="0" w:line="275.9999942779541" w:lineRule="auto"/>
        <w:rPr>
          <w:rFonts w:ascii="Google Sans" w:cs="Google Sans" w:eastAsia="Google Sans" w:hAnsi="Google Sans"/>
        </w:rPr>
      </w:pPr>
      <w:bookmarkStart w:colFirst="0" w:colLast="0" w:name="_2xc3ot9v039z"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Expanded Peer-Reviewed Foundations</w:t>
      </w:r>
    </w:p>
    <w:p w:rsidR="00000000" w:rsidDel="00000000" w:rsidP="00000000" w:rsidRDefault="00000000" w:rsidRPr="00000000" w14:paraId="00000036">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multifactorial approach is built entirely on established sports medicine and aerospace physiology literature:</w:t>
      </w:r>
    </w:p>
    <w:p w:rsidR="00000000" w:rsidDel="00000000" w:rsidP="00000000" w:rsidRDefault="00000000" w:rsidRPr="00000000" w14:paraId="00000037">
      <w:pPr>
        <w:numPr>
          <w:ilvl w:val="0"/>
          <w:numId w:val="3"/>
        </w:numPr>
        <w:spacing w:line="275.9999942779541" w:lineRule="auto"/>
        <w:ind w:left="600" w:hanging="360"/>
      </w:pPr>
      <w:r w:rsidDel="00000000" w:rsidR="00000000" w:rsidRPr="00000000">
        <w:rPr>
          <w:rFonts w:ascii="Google Sans" w:cs="Google Sans" w:eastAsia="Google Sans" w:hAnsi="Google Sans"/>
          <w:b w:val="1"/>
          <w:bCs w:val="1"/>
          <w:rtl w:val="0"/>
        </w:rPr>
        <w:t xml:space="preserve">Managing Travel Fatigue and Jet Lag in Athletes: A Review and Consensus Statement.</w:t>
      </w:r>
      <w:r w:rsidDel="00000000" w:rsidR="00000000" w:rsidRPr="00000000">
        <w:rPr>
          <w:rFonts w:ascii="Google Sans" w:cs="Google Sans" w:eastAsia="Google Sans" w:hAnsi="Google Sans"/>
          <w:rtl w:val="0"/>
        </w:rPr>
        <w:t xml:space="preserve"> This consensus outlines the fundamental difference between "travel fatigue" (the physical toll of the cabin environment) and true "jet lag" (circadian misalignment), validating the need for distinct interventions for 4-hour flights versus trans-oceanic ones.</w:t>
      </w:r>
    </w:p>
    <w:p w:rsidR="00000000" w:rsidDel="00000000" w:rsidP="00000000" w:rsidRDefault="00000000" w:rsidRPr="00000000" w14:paraId="00000038">
      <w:pPr>
        <w:numPr>
          <w:ilvl w:val="1"/>
          <w:numId w:val="10"/>
        </w:numPr>
        <w:spacing w:line="275.9999942779541" w:lineRule="auto"/>
        <w:ind w:left="1200" w:hanging="360"/>
      </w:pPr>
      <w:hyperlink r:id="rId9">
        <w:r w:rsidDel="00000000" w:rsidR="00000000" w:rsidRPr="00000000">
          <w:rPr>
            <w:rFonts w:ascii="Google Sans" w:cs="Google Sans" w:eastAsia="Google Sans" w:hAnsi="Google Sans"/>
            <w:color w:val="0000ee"/>
            <w:u w:val="single"/>
            <w:rtl w:val="0"/>
          </w:rPr>
          <w:t xml:space="preserve">Link to study (PMC8279034)</w:t>
        </w:r>
      </w:hyperlink>
      <w:r w:rsidDel="00000000" w:rsidR="00000000" w:rsidRPr="00000000">
        <w:rPr>
          <w:rtl w:val="0"/>
        </w:rPr>
      </w:r>
    </w:p>
    <w:p w:rsidR="00000000" w:rsidDel="00000000" w:rsidP="00000000" w:rsidRDefault="00000000" w:rsidRPr="00000000" w14:paraId="00000039">
      <w:pPr>
        <w:numPr>
          <w:ilvl w:val="0"/>
          <w:numId w:val="3"/>
        </w:numPr>
        <w:spacing w:line="275.9999942779541" w:lineRule="auto"/>
        <w:ind w:left="600" w:hanging="360"/>
      </w:pPr>
      <w:r w:rsidDel="00000000" w:rsidR="00000000" w:rsidRPr="00000000">
        <w:rPr>
          <w:rFonts w:ascii="Google Sans" w:cs="Google Sans" w:eastAsia="Google Sans" w:hAnsi="Google Sans"/>
          <w:b w:val="1"/>
          <w:bCs w:val="1"/>
          <w:rtl w:val="0"/>
        </w:rPr>
        <w:t xml:space="preserve">Aerospace Pressure Effects on the Human Body.</w:t>
      </w:r>
      <w:r w:rsidDel="00000000" w:rsidR="00000000" w:rsidRPr="00000000">
        <w:rPr>
          <w:rFonts w:ascii="Google Sans" w:cs="Google Sans" w:eastAsia="Google Sans" w:hAnsi="Google Sans"/>
          <w:rtl w:val="0"/>
        </w:rPr>
        <w:t xml:space="preserve"> Details the exact physiological cascade caused by hypobaric hypoxia in commercial aircraft (pressurized to ~8,000 feet), resulting in decreased oxygen saturation and increased autonomic stress.</w:t>
      </w:r>
    </w:p>
    <w:p w:rsidR="00000000" w:rsidDel="00000000" w:rsidP="00000000" w:rsidRDefault="00000000" w:rsidRPr="00000000" w14:paraId="0000003A">
      <w:pPr>
        <w:numPr>
          <w:ilvl w:val="1"/>
          <w:numId w:val="11"/>
        </w:numPr>
        <w:spacing w:line="275.9999942779541" w:lineRule="auto"/>
        <w:ind w:left="1200" w:hanging="360"/>
      </w:pPr>
      <w:hyperlink r:id="rId10">
        <w:r w:rsidDel="00000000" w:rsidR="00000000" w:rsidRPr="00000000">
          <w:rPr>
            <w:rFonts w:ascii="Google Sans" w:cs="Google Sans" w:eastAsia="Google Sans" w:hAnsi="Google Sans"/>
            <w:color w:val="0000ee"/>
            <w:u w:val="single"/>
            <w:rtl w:val="0"/>
          </w:rPr>
          <w:t xml:space="preserve">Link to statpearls (NBK470190)</w:t>
        </w:r>
      </w:hyperlink>
      <w:r w:rsidDel="00000000" w:rsidR="00000000" w:rsidRPr="00000000">
        <w:rPr>
          <w:rtl w:val="0"/>
        </w:rPr>
      </w:r>
    </w:p>
    <w:p w:rsidR="00000000" w:rsidDel="00000000" w:rsidP="00000000" w:rsidRDefault="00000000" w:rsidRPr="00000000" w14:paraId="0000003B">
      <w:pPr>
        <w:numPr>
          <w:ilvl w:val="0"/>
          <w:numId w:val="3"/>
        </w:numPr>
        <w:spacing w:line="275.9999942779541" w:lineRule="auto"/>
        <w:ind w:left="600" w:hanging="360"/>
      </w:pPr>
      <w:r w:rsidDel="00000000" w:rsidR="00000000" w:rsidRPr="00000000">
        <w:rPr>
          <w:rFonts w:ascii="Google Sans" w:cs="Google Sans" w:eastAsia="Google Sans" w:hAnsi="Google Sans"/>
          <w:b w:val="1"/>
          <w:bCs w:val="1"/>
          <w:rtl w:val="0"/>
        </w:rPr>
        <w:t xml:space="preserve">Sports Compression Garments Improve Resting Markers of Venous Return.</w:t>
      </w:r>
      <w:r w:rsidDel="00000000" w:rsidR="00000000" w:rsidRPr="00000000">
        <w:rPr>
          <w:rFonts w:ascii="Google Sans" w:cs="Google Sans" w:eastAsia="Google Sans" w:hAnsi="Google Sans"/>
          <w:rtl w:val="0"/>
        </w:rPr>
        <w:t xml:space="preserve"> Demonstrates that wearing compression garments during prolonged inactivity (like sitting on a flight) actively diverts blood from superficial to deep veins, drastically reducing venous pooling and maintaining muscle blood flow.</w:t>
      </w:r>
    </w:p>
    <w:p w:rsidR="00000000" w:rsidDel="00000000" w:rsidP="00000000" w:rsidRDefault="00000000" w:rsidRPr="00000000" w14:paraId="0000003C">
      <w:pPr>
        <w:numPr>
          <w:ilvl w:val="1"/>
          <w:numId w:val="1"/>
        </w:numPr>
        <w:spacing w:line="275.9999942779541" w:lineRule="auto"/>
        <w:ind w:left="1200" w:hanging="360"/>
      </w:pPr>
      <w:hyperlink r:id="rId11">
        <w:r w:rsidDel="00000000" w:rsidR="00000000" w:rsidRPr="00000000">
          <w:rPr>
            <w:rFonts w:ascii="Google Sans" w:cs="Google Sans" w:eastAsia="Google Sans" w:hAnsi="Google Sans"/>
            <w:color w:val="0000ee"/>
            <w:u w:val="single"/>
            <w:rtl w:val="0"/>
          </w:rPr>
          <w:t xml:space="preserve">Link to study (PMC10362518)</w:t>
        </w:r>
      </w:hyperlink>
      <w:r w:rsidDel="00000000" w:rsidR="00000000" w:rsidRPr="00000000">
        <w:rPr>
          <w:rtl w:val="0"/>
        </w:rPr>
      </w:r>
    </w:p>
    <w:p w:rsidR="00000000" w:rsidDel="00000000" w:rsidP="00000000" w:rsidRDefault="00000000" w:rsidRPr="00000000" w14:paraId="0000003D">
      <w:pPr>
        <w:spacing w:line="275.9999942779541" w:lineRule="auto"/>
        <w:rPr>
          <w:rFonts w:ascii="Google Sans" w:cs="Google Sans" w:eastAsia="Google Sans" w:hAnsi="Google Sans"/>
          <w:color w:val="0000ee"/>
          <w:u w:val="single"/>
        </w:rPr>
      </w:pPr>
      <w:r w:rsidDel="00000000" w:rsidR="00000000" w:rsidRPr="00000000">
        <w:rPr>
          <w:rtl w:val="0"/>
        </w:rPr>
      </w:r>
    </w:p>
    <w:p w:rsidR="00000000" w:rsidDel="00000000" w:rsidP="00000000" w:rsidRDefault="00000000" w:rsidRPr="00000000" w14:paraId="0000003E">
      <w:pPr>
        <w:numPr>
          <w:ilvl w:val="0"/>
          <w:numId w:val="3"/>
        </w:numPr>
        <w:spacing w:line="275.9999942779541" w:lineRule="auto"/>
        <w:ind w:left="600" w:hanging="360"/>
      </w:pPr>
      <w:r w:rsidDel="00000000" w:rsidR="00000000" w:rsidRPr="00000000">
        <w:rPr>
          <w:rFonts w:ascii="Google Sans" w:cs="Google Sans" w:eastAsia="Google Sans" w:hAnsi="Google Sans"/>
          <w:b w:val="1"/>
          <w:bCs w:val="1"/>
          <w:rtl w:val="0"/>
        </w:rPr>
        <w:t xml:space="preserve">Effects of Simulated Short-Haul Flights on Sport-Specific Performance.</w:t>
      </w:r>
      <w:r w:rsidDel="00000000" w:rsidR="00000000" w:rsidRPr="00000000">
        <w:rPr>
          <w:rFonts w:ascii="Google Sans" w:cs="Google Sans" w:eastAsia="Google Sans" w:hAnsi="Google Sans"/>
          <w:rtl w:val="0"/>
        </w:rPr>
        <w:t xml:space="preserve"> Proves that even short-duration flights (2 to 4 hours) cause measurable psychophysiological perturbations, immune suppression (reduced sIgA), and significant HRV drops, necessitating active in-flight management.</w:t>
      </w:r>
    </w:p>
    <w:p w:rsidR="00000000" w:rsidDel="00000000" w:rsidP="00000000" w:rsidRDefault="00000000" w:rsidRPr="00000000" w14:paraId="0000003F">
      <w:pPr>
        <w:numPr>
          <w:ilvl w:val="1"/>
          <w:numId w:val="2"/>
        </w:numPr>
        <w:spacing w:line="275.9999942779541" w:lineRule="auto"/>
        <w:ind w:left="1200" w:hanging="360"/>
      </w:pPr>
      <w:hyperlink r:id="rId12">
        <w:r w:rsidDel="00000000" w:rsidR="00000000" w:rsidRPr="00000000">
          <w:rPr>
            <w:rFonts w:ascii="Google Sans" w:cs="Google Sans" w:eastAsia="Google Sans" w:hAnsi="Google Sans"/>
            <w:color w:val="0000ee"/>
            <w:u w:val="single"/>
            <w:rtl w:val="0"/>
          </w:rPr>
          <w:t xml:space="preserve">Link to study (PMC12624380)</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color w:val="0000ee"/>
          <w:u w:val="singl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sectPr>
      <w:head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t xml:space="preserve">2. Athlete Travel Degradation Mitigation Strategies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10362518/" TargetMode="External"/><Relationship Id="rId10" Type="http://schemas.openxmlformats.org/officeDocument/2006/relationships/hyperlink" Target="https://www.ncbi.nlm.nih.gov/books/NBK470190/" TargetMode="External"/><Relationship Id="rId13" Type="http://schemas.openxmlformats.org/officeDocument/2006/relationships/header" Target="header1.xml"/><Relationship Id="rId12" Type="http://schemas.openxmlformats.org/officeDocument/2006/relationships/hyperlink" Target="https://pmc.ncbi.nlm.nih.gov/articles/PMC126243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279034/" TargetMode="External"/><Relationship Id="rId5" Type="http://schemas.openxmlformats.org/officeDocument/2006/relationships/styles" Target="styles.xml"/><Relationship Id="rId6" Type="http://schemas.openxmlformats.org/officeDocument/2006/relationships/hyperlink" Target="https://pmc.ncbi.nlm.nih.gov/articles/PMC8279034/" TargetMode="External"/><Relationship Id="rId7" Type="http://schemas.openxmlformats.org/officeDocument/2006/relationships/hyperlink" Target="https://pmc.ncbi.nlm.nih.gov/articles/PMC7137984/" TargetMode="External"/><Relationship Id="rId8" Type="http://schemas.openxmlformats.org/officeDocument/2006/relationships/hyperlink" Target="https://pmc.ncbi.nlm.nih.gov/articles/PMC105204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