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8f"/>
          <w:sz w:val="80"/>
          <w:szCs w:val="80"/>
          <w:rtl w:val="0"/>
        </w:rPr>
        <w:t xml:space="preserve">PAAPS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8"/>
          <w:szCs w:val="28"/>
          <w:rtl w:val="0"/>
        </w:rPr>
        <w:t xml:space="preserve">Psicologia, Saúde Mental e Impacto Social em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PESQUISA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8f"/>
          <w:sz w:val="36"/>
          <w:szCs w:val="36"/>
          <w:rtl w:val="0"/>
        </w:rPr>
        <w:t xml:space="preserve">Saúde Mental Corporativa no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4"/>
          <w:szCs w:val="24"/>
          <w:rtl w:val="0"/>
        </w:rPr>
        <w:t xml:space="preserve">2024–2026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7"/>
          <w:szCs w:val="17"/>
          <w:rtl w:val="0"/>
        </w:rPr>
        <w:t xml:space="preserve">Compilado com dados de: Ministério da Previdência Social · INSS · ANAMT · IMARC Group · OMS · Harvard Business Review · IBEF-SP · Exame · Jornal USP · FDC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4a3f8f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8f"/>
          <w:sz w:val="36"/>
          <w:szCs w:val="36"/>
          <w:rtl w:val="0"/>
        </w:rPr>
        <w:t xml:space="preserve">Sumário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O Brasil atravessa a maior crise de saúde mental no trabalho de sua história recente. Em 2024, foram registrados 472.328 afastamentos por transtornos mentais — um crescimento de 68% em relação ao ano anterior e o maior número da última década. A tendência para 2025 aponta para mais de 546 mil afastamentos.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Ao mesmo tempo, a NR-01 atualizada tornou obrigatório o mapeamento e gerenciamento de riscos psicossociais em todas as empresas com regime CLT, com multas de até R$ 6.708 por trabalhador exposto a partir de 26 de maio de 2026. Isso cria uma janela de demanda regulatória sem precedentes para soluções como as do PAAPS.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Este relatório mapeia o tamanho e crescimento do mercado, os principais indicadores de crise, o custo financeiro do adoecimento mental nas organizações, o marco regulatório vigente e as tendências que estruturam a demanda nos próximos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"/>
        <w:gridCol w:w="2200"/>
        <w:gridCol w:w="160"/>
        <w:gridCol w:w="2200"/>
        <w:gridCol w:w="160"/>
        <w:gridCol w:w="2200"/>
        <w:tblGridChange w:id="0">
          <w:tblGrid>
            <w:gridCol w:w="2200"/>
            <w:gridCol w:w="160"/>
            <w:gridCol w:w="2200"/>
            <w:gridCol w:w="160"/>
            <w:gridCol w:w="2200"/>
            <w:gridCol w:w="1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e8f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f8f"/>
                <w:sz w:val="48"/>
                <w:szCs w:val="48"/>
                <w:rtl w:val="0"/>
              </w:rPr>
              <w:t xml:space="preserve">472 mil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Afastamentos por saúde mental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be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48"/>
                <w:szCs w:val="48"/>
                <w:rtl w:val="0"/>
              </w:rPr>
              <w:t xml:space="preserve">+68%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Crescimento vs.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48"/>
                <w:szCs w:val="48"/>
                <w:rtl w:val="0"/>
              </w:rPr>
              <w:t xml:space="preserve">R$ 200 bi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Custo do presenteísmo por ano (BR)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48"/>
                <w:szCs w:val="48"/>
                <w:rtl w:val="0"/>
              </w:rPr>
              <w:t xml:space="preserve">US$ 1,5 bi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Mercado bem-estar corporativo BR (2024)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Ministério da Previdência Social (2025), IBEF-SP (2025), IMARC Group (2024)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dddddd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4a3f8f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8f"/>
          <w:sz w:val="36"/>
          <w:szCs w:val="36"/>
          <w:rtl w:val="0"/>
        </w:rPr>
        <w:t xml:space="preserve">1. Tamanho e crescimento do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1.1 Mercado de bem-estar corporativo no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O mercado brasileiro de bem-estar corporativo atingiu US$ 1,53 bilhão em 2024, segundo o IMARC Group. A projeção é que alcance US$ 2,58 bilhões até 2033, crescendo a uma taxa composta anual (CAGR) de 6%, impulsionado pelo aumento da consciência sobre saúde mental, pressão regulatória e demanda das novas gerações por benefícios mais humanizados.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IMARC Group, Brazil Corporate Wellness Market Report,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2800"/>
        <w:gridCol w:w="2760"/>
        <w:tblGridChange w:id="0">
          <w:tblGrid>
            <w:gridCol w:w="3800"/>
            <w:gridCol w:w="2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f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f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f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Projeção / Tendência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Mercado bem-estar corporativo BR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US$ 1,53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US$ 2,58 bi até 2033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CAGR do setor (2025-2033)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6,0% ao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Crescimento sustentado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Mercado saúde &amp; wellness BR (CAGR)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11,52%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2024–2032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Mercado global tecnologia saúde 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US$ 5,27 bi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US$ 12,9 bi até 2034 (CAGR 10,5%)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IMARC Group (2024); Business Research Insights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1.2 Posicionamento do PAAPS dentro do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O PAAPS não compete no segmento de plataformas digitais genéricas de bem-estar (apps, planos de terapia online por assinatura). Sua proposta de valor está no segmento de consultoria e tecnologia social especializada — um nicho ainda pouco estruturado no Brasil, especialmente para contextos de alta exigência relacional como prefeituras, organizações sociais e empresas com riscos psicossociais mapeados.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Este segmento tem margens mais altas, menor concorrência direta e ciclo de venda que depende de diagnóstico situado — o que favorece atores com profundidade metodológica sobre atores com escala tecnológica.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22"/>
                <w:szCs w:val="22"/>
                <w:rtl w:val="0"/>
              </w:rPr>
              <w:t xml:space="preserve">Oportunidade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A janela de adequação à NR-01 (até 26/05/2026) cria uma demanda compulsória por diagnóstico de riscos psicossociais. Para empresas que ainda não iniciaram o processo, o PAAPS pode entrar como parceiro de diagnóstico e intervenção — com proposta muito mais consistente do que ações pontuais de RH.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bottom w:color="dddddd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4a3f8f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8f"/>
          <w:sz w:val="36"/>
          <w:szCs w:val="36"/>
          <w:rtl w:val="0"/>
        </w:rPr>
        <w:t xml:space="preserve">2. A crise de saúde mental no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2.1 Afastamentos — série histórica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O Brasil registrou em 2024 seu maior número de afastamentos por transtornos mentais em pelo menos uma década. O crescimento de 68% em relação a 2023 reflete um problema estrutural que vem se agravando desde a pandemia de Covid-19, ainda que o contexto anterior à pandemia já apresentasse tendência de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00"/>
        <w:gridCol w:w="2960"/>
        <w:tblGridChange w:id="0">
          <w:tblGrid>
            <w:gridCol w:w="2800"/>
            <w:gridCol w:w="36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f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f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Afastamentos por transtornos mentais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f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91.607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Queda (Covid-19 inicial)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~150.000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Retomada pós-pandemia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283.471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Base de comparação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472.328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+68% — Recorde 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2025 (projeção)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546.000+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+15% estimado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Ministério da Previdência Social / INSS (2025); ANAMT (2026); FDC/Vittude (2025); Jornal da USP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2.2 Burnout — o dado mais expressivo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Entre todos os transtornos mentais, o burnout apresentou o crescimento percentual mais expressivo no período recente: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493% de crescimento entre 2021 e 2024, passando de 823 para 4.880 afastamentos registrados (Ministério da Previdência Social)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No primeiro semestre de 2025 já foram registrados 3.494 casos de burnout — 71,6% de todo o ano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Os registros triplicaram entre 2023 e 2025, chegando a 6.985 casos (ANAMT/INSS,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Em 2024, o termo 'burnout' apareceu em 17.200 processos trabalhistas, com valor médio de causa estimado em R$ 286 mil e passivo total de R$ 3,63 bilhões para as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AMATRA1 (2025); ANAMT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2.3 Custo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Os benefícios pagos pelo INSS relacionados a transtornos mentais ultrapassaram R$ 954 milhões em 2025. A duração média de cada afastamento é de 3 meses, com benefício médio de R$ 1.900/mês. Em termos de impacto direto ao caixa público, estima-se que o custo total dos afastamentos por saúde mental chegou a R$ 3 bilhões em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ANAMT (2026); G1 / Ministério da Previdência Social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2.4 Dados epidemiológicos de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56 milhões de brasileiros — 26,8% da população — convivem com algum grau de transtorno de ansiedade (Covitel,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54% da população brasileira considera a saúde mental seu principal problema de saúde (Health Service Report,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31% dos brasileiros citaram o estresse como um dos principais problemas de saúde em 2024 — crescimento constante desde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30% dos profissionais brasileiros sofrem de burnout (ANAMT / Vittude)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40% das pessoas percebem o trabalho como fonte significativa de estresse e desgaste mental (Vittude / Opinion Box,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Em 80% dos casos de sofrimento mental, o próprio trabalho é citado como principal fonte de estresse (Sodexo, pesquisa global, 6 países)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Covitel (2024); Global Mind Project (2024); Health Service Report (2024); ANAMT; Vittude/Opinion Box (2024); Sodexo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dddddd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bottom w:color="4a3f8f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8f"/>
          <w:sz w:val="36"/>
          <w:szCs w:val="36"/>
          <w:rtl w:val="0"/>
        </w:rPr>
        <w:t xml:space="preserve">3. Custo financeiro do adoecimento para as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3.1 Presenteísmo — o custo invisível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O absenteísmo é visível porque gera registro. O presenteísmo — colaborador presente mas mentalmente exausto, operando com 50-60% da capacidade — é silencioso e mais caro. Ele não aparece no DRE, mas consome margem operacional todos os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"/>
        <w:gridCol w:w="2200"/>
        <w:gridCol w:w="160"/>
        <w:gridCol w:w="2200"/>
        <w:gridCol w:w="160"/>
        <w:gridCol w:w="2200"/>
        <w:tblGridChange w:id="0">
          <w:tblGrid>
            <w:gridCol w:w="2200"/>
            <w:gridCol w:w="160"/>
            <w:gridCol w:w="2200"/>
            <w:gridCol w:w="160"/>
            <w:gridCol w:w="2200"/>
            <w:gridCol w:w="1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48"/>
                <w:szCs w:val="48"/>
                <w:rtl w:val="0"/>
              </w:rPr>
              <w:t xml:space="preserve">R$ 200 bi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Custo anual do presenteísmo (BR)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48"/>
                <w:szCs w:val="48"/>
                <w:rtl w:val="0"/>
              </w:rPr>
              <w:t xml:space="preserve">US$ 4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ROI de cada US$ 1 investido em saúde 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e8f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f8f"/>
                <w:sz w:val="48"/>
                <w:szCs w:val="48"/>
                <w:rtl w:val="0"/>
              </w:rPr>
              <w:t xml:space="preserve">41%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Redução no absenteísmo e turnover (Harvard)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be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32d2d"/>
                <w:sz w:val="48"/>
                <w:szCs w:val="48"/>
                <w:rtl w:val="0"/>
              </w:rPr>
              <w:t xml:space="preserve">3x–7x maior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Custo do presenteísmo vs. absenteísmo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IBEF-SP (2025); Harvard Business Review (2024/2025); OMS; Clude / JAMA (2024)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3.2 Impactos operacionais quantificados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Empresas com altos índices de problemas de saúde mental apresentam turnover 40% superior à média do mercado (CLIMEC,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Colaboradores em ambientes psicologicamente seguros demonstram 31% maior produtividade e 37% melhor performance em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Redução de 40% nos erros e retrabalhos em ambientes com programas estruturados de saúde 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Melhoria de 25% nos índices de satisfação do cliente em empresas com colaboradores mentalmente saudáveis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Empresas reconhecidas por cuidar da saúde mental atraem talentos 50% mais facilmente e com 30% menos custo de recrutamento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93% dos líderes de RH relataram que o custo dos benefícios de saúde diminuiu como resultado de programas de bem-estar (Wellhub,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99% dos líderes de RH afirmam que programas de bem-estar ajudam a aumentar a produtividade da força de trabalho (Wellhub,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CLIMEC (2025); Wellhub ROI Study (2024); Harvard Business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3.3 Custo por 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Segundo a Harvard Business Review, para um colaborador que ganha R$ 2.000/mês, o presenteísmo pode gerar custo anual de R$ 21.000 para a empresa. O custo aumenta proporcionalmente em cargos de maior remuneração e responsabilidade cognitiva.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Em escala global, a OMS estima que ansiedade e depressão provocam a perda de 12 bilhões de dias úteis por ano, com impacto econômico de US$ 1 trilhão 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Harvard Business Review; OMS (Mental Health Atlas,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4a3f8f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8f"/>
          <w:sz w:val="36"/>
          <w:szCs w:val="36"/>
          <w:rtl w:val="0"/>
        </w:rPr>
        <w:t xml:space="preserve">4. Marco regulatório — NR-01 e Lei 14.831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4.1 A NR-01 atualizada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A Portaria MTE nº 1.419/2024 atualizou a Norma Regulamentadora nº 1, tornando obrigatória a inclusão de fatores de riscos psicossociais no Programa de Gerenciamento de Riscos (PGR) de todas as empresas com empregados CLT, independentemente de porte ou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O período entre maio de 2025 e 26 de maio de 2026 é de caráter educativo e orientativo. A partir de 26 de maio de 2026, a fiscalização passa a ter caráter plenamente punitivo, com multas aplicadas pelos Auditores Fiscais do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4160"/>
        <w:tblGridChange w:id="0">
          <w:tblGrid>
            <w:gridCol w:w="3200"/>
            <w:gridCol w:w="20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f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f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f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Publicação da Portaria MTE 1.419/2024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Torna riscos psicossociais obrigatórios no PGR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Início da vigência (fase educativa)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26/05/2025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Fiscalização orientativa, sem multas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Vigência plena com multas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26/05/2026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Autuações formais pelo MTE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CTPP confirma: sem nova prorrogação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Abr/2026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Prazo definitivo confirmado pelo governo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Portaria MTE 1.419/2024; Portaria MTE 765/2025; CTPP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4.2 Penalidades pelo descumprimento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Multa por ausência total de avaliação de riscos psicossociais: R$ 1.610,12 a R$ 6.708,08 por trabalhador exposto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Avaliação superficial sem metodologia: R$ 805,06 por trabalhador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Identificou riscos mas não implementou controles: R$ 6.708,08 por trabalhador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Exemplo de cálculo: empresa com 200 trabalhadores sem avaliação psicossocial → multa potencial de R$ 1.341.616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Riscos adicionais: ações trabalhistas (em 2024 foram 17.200 processos com 'burnout', com passivo total de R$ 3,63 bilhões), danos reputacionais e interdição de setores em casos graves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NR-01 (Portaria MTE 1.419/2024); NR-28; AMATRA1 (2025); Barbieri Advogados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22"/>
                <w:szCs w:val="22"/>
                <w:rtl w:val="0"/>
              </w:rPr>
              <w:t xml:space="preserve">Por que isso importa para o PAAPS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A NR-01 cria uma demanda compulsória por diagnóstico de riscos psicossociais. Para o PAAPS, isso é um gatilho de vendas poderoso — especialmente para empresas que ainda não iniciaram o processo e enfrentam prazo iminente. O diagnóstico inicial localizado do PAAPS resolve exatamente a primeira exigência da norma: identificar, avaliar e documentar os riscos psicossociais com método.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4.3 Lei 14.831/2024 — Certificação de empresas promotoras da saúde 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Em vigor desde março de 2024, a Lei nº 14.831 permite que o governo federal conceda certificado às empresas que promovam saúde mental dos colaboradores, seguindo diretrizes de advocacy, bem-estar e transparência. A certificação inclui suporte psicológico e incentivo ao equilíbrio entre vida pessoal 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Do ponto de vista jurídico, a manutenção da certificação constitui elemento de prova de que a empresa adota práticas estruturadas de promoção da saúde mental — o que pode ser invocado como evidência de diligência em ações trabalhistas sobre adoecimento de origem psicossocial.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Lei nº 14.831/2024; Barbieri Advogados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dddddd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pBdr>
          <w:bottom w:color="4a3f8f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8f"/>
          <w:sz w:val="36"/>
          <w:szCs w:val="36"/>
          <w:rtl w:val="0"/>
        </w:rPr>
        <w:t xml:space="preserve">5. Tendências do mercado 2025–2026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5.1 Saúde mental como pauta estratégica de negócios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Investir em programas de saúde mental deixou de ser um diferencial e se tornou uma exigência estratégica. As novas gerações — especialmente a Geração Z — valorizam ambientes que promovam equilíbrio e qualidade de vida como fator decisivo de escolha e permanência em empregadores.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5.2 Segurança psicológica como métrica de liderança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O treinamento de lideranças para criar ambientes psicologicamente seguros é apontado como a tendência mais urgente para RH em 2025 (Exame, 2025). Líderes que identificam sinais de sofrimento e oferecem acolhimento sem julgamento reduzem diretamente absenteísmo, presenteísmo e processos trabalhistas.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5.3 Saúde mental como componente do ESG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A dimensão 'S' do ESG passou a incluir métricas sobre bem-estar, saúde mental e clima organizacional. Empresas que conseguem mensurar e demonstrar suas práticas de cuidado com trabalhadores ganham vantagem competitiva, reputacional e financeira — inclusive junto a investidores e grandes clientes que exigem relatórios ESG.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Mapa HDS (2025); Instituto Suassuna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5.4 Personalização e abordagem sistêmica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A tendência se afasta de soluções genéricas — palestras avulsas, programas padronizados — em direção a intervenções situadas, diagnóstico localizado e ações construídas a partir da realidade concreta de cada organização. Isso é exatamente o modelo do PAAPS, o que o posiciona à frente da curva.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5.5 Integração entre saúde mental e cultura organizacional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As empresas mais avançadas no tema tratam cultura, liderança, comunicação, reconhecimento e segurança psicológica como componentes estruturantes do bem-estar — não como programas paralelos. Para 2025-2026, a expectativa é que o diagnóstico cultural integrado ao diagnóstico de riscos psicossociais se torne padrão de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5.6 Trabalho híbrido e isolamento como fator de risco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O retorno compulsório ao presencial imposto por muitas empresas em 2024-2025 é apontado por especialistas como potencializador de problemas de saúde mental, especialmente pelo caráter de controle que esse movimento carrega. Ambientes híbridos mal gerenciados aumentam isolamento, sobrecarga e risco de burnout.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Fonte: Jornal da USP (2025); Exame (2025); ABQV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dddddd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pBdr>
          <w:bottom w:color="4a3f8f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8f"/>
          <w:sz w:val="36"/>
          <w:szCs w:val="36"/>
          <w:rtl w:val="0"/>
        </w:rPr>
        <w:t xml:space="preserve">6. Posicionamento do PAAPS no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6.1 Onde o PAAPS compete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O PAAPS não disputa o segmento de plataformas digitais de bem-estar (Vittude, Zenklub, Wellhub), nem o de clínicas de saúde ocupacional tradicionais, nem o de consultorias de RH genéricas. Seu lugar é o de tecnologia social em psicologia: leitura territorial, diagnóstico situado, intervenção sistêmica e construção de capacidade instalada.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600"/>
        <w:gridCol w:w="3960"/>
        <w:tblGridChange w:id="0">
          <w:tblGrid>
            <w:gridCol w:w="2800"/>
            <w:gridCol w:w="26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f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f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f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Limitação vs. PAAPS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Plataformas digitais (apps, terapia online)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Escala, B2C, ticket 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Não lê o contexto institucional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Clínicas de saúde ocupacional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Atendimento clínico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Não intervém na dinâmica coletiva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Consultorias de clima e 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Diagnóstico de satisfação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Sem profundidade psicossocial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Treinamentos e palestras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Ações pontuais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Sem continuidade ou sustentação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PAAPS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Tecnologia social + psicologia sistêmica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Intervenção situada, capacidade instalada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6.2 Diferenciais competitivos à luz do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Diagnóstico localizado antes de qualquer intervenção — resolve a exigência central da NR-01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Abordagem psicossocial e sistêmica — olha para relações, fluxos, liderança e cultura, não apenas indivíduos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Compromisso com capacidade instalada — deixa a instituição mais capaz ao final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Atuação em contextos de alta exigência relacional — território que soluções genéricas não alcançam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Inteligência territorial e cultural — diferencial impossível de replicar por plataformas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6.3 Segmento empresarial — oportunidade e posicionamento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Para o segmento corporativo, o PAAPS deve se posicionar como alternativa de profundidade em relação a soluções de prateleira: entra quando conflitos, sobrecarga e adoecimento já estão comprometendo a sustentação do trabalho — e entrega diagnóstico situado + intervenção consistente, documentada e adequada à NR-01.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O 'sweet spot' são médias empresas (200–2.000 funcionários) com RH estruturado, orçamento dedicado a benefícios e urgência regulatória real. O ticket estimado é de R$ 30–50/funcionário/mês no modelo SaaS+consultoria.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e8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C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f8f"/>
                <w:sz w:val="22"/>
                <w:szCs w:val="22"/>
                <w:rtl w:val="0"/>
              </w:rPr>
              <w:t xml:space="preserve">Argumento central para o decisor de RH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Sua empresa já tem obrigação legal de mapear riscos psicossociais — com prazo final em 26/05/2026. O PAAPS não vende bem-estar genérico: entrega diagnóstico localizado, intervenção com método e documentação para conformidade com a NR-01. Tudo isso construído a partir da realidade concreta da sua equipe, não de uma agenda padronizada.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Bdr>
          <w:bottom w:color="dddddd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pBdr>
          <w:bottom w:color="4a3f8f" w:space="0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f8f"/>
          <w:sz w:val="36"/>
          <w:szCs w:val="36"/>
          <w:rtl w:val="0"/>
        </w:rPr>
        <w:t xml:space="preserve">7. Referências e fontes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Todos os dados desta pesquisa foram coletados de fontes primárias e secundárias confiáveis, listadas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ANAMT — Associação Nacional de Medicina do Trabalho. Levantamento com dados oficiais do INSS: crescimento dos afastamentos por saúde mental 2023–2025. Janeiro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AMATRA1. Afastamentos por burnout quintuplicam em quatro anos.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Business Research Insights. Mental Health Technology Market Report 2025–2034. Dezembro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CLIMEC. Saúde Mental no Trabalho: Como a NR-1 2025 Revoluciona Gestão de Bem-Estar Corporativo.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Covitel. Pesquisa de Vigilância de Fatores de Risco e Proteção para Doenças Crônicas por Inquérito Telefônico.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FDC — Fundação Dom Cabral / Vittude. Problemas com saúde mental podem afastar até 1 milhão em 2025.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G1 / Ministério da Previdência Social. Brasil registra maior número de afastamentos por ansiedade e depressão em 10 anos.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Global Mind Project. Relatório Global de Saúde Mental 2024.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Harvard Business Review. ROI em programas de saúde mental corporativa. 2024–2025.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Health Service Report. Pesquisa sobre percepção da saúde mental como principal problema de saúde no Brasil.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IBEF-SP — Instituto Brasileiro de Executivos de Finanças de São Paulo. Estimativas de custo do presenteísmo.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IMARC Group. Brazil Corporate Wellness Market Size, Share, Trends and Forecast 2025–2033.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Jornal da USP. Afastamento do trabalho por transtornos mentais cresce 68% no Brasil. Abril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Ministério da Previdência Social / INSS. Dados de afastamentos por transtornos mentais 2023–2025.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Ministério do Trabalho e Emprego. Portaria MTE nº 1.419/2024 — Atualização da NR-01.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Ministério do Trabalho e Emprego. Portaria MTE nº 765/2025 — Prorrogação do prazo NR-01.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OMS — Organização Mundial da Saúde. Mental Health Atlas 2024. Setembro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OIT — Organização Internacional do Trabalho. Série SmartLab de Trabalho Decente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Saúde Business. Cenário da Saúde Mental no Brasil — Atualizado. Maio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Sodexo. Pesquisa global sobre bem-estar mental no trabalho — 6 países.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Vittude / Opinion Box. Pesquisa Saúde Mental em Foco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Wellhub. Estudo de ROI em programas de bem-estar corporativo.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Documento produzido para uso estratégico interno do PAAPS.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Dados coletados em abril de 2026. Recomenda-se atualização anual.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PAAPS — Pesquisa de Mercado Saúde Mental Corporativa  | 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3f8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