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AI Readiness &amp; Future Intelligence Specification v1.0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Principle</w:t>
      </w:r>
    </w:p>
    <w:p>
      <w:r>
        <w:t>AI is not a dependency of the V1 clinical transaction path. VetFlow should nevertheless capture structured, auditable and well-linked data so future AI capabilities can be added safely.</w:t>
      </w:r>
    </w:p>
    <w:p>
      <w:pPr>
        <w:pStyle w:val="Heading1"/>
      </w:pPr>
      <w:r>
        <w:t>2. Future AI Use Cases</w:t>
      </w:r>
    </w:p>
    <w:p>
      <w:pPr>
        <w:pStyle w:val="ListBullet"/>
      </w:pPr>
      <w:r>
        <w:t>Patient History Assistant</w:t>
      </w:r>
    </w:p>
    <w:p>
      <w:pPr>
        <w:pStyle w:val="ListBullet"/>
      </w:pPr>
      <w:r>
        <w:t>SOAP/clinical note drafting assistant</w:t>
      </w:r>
    </w:p>
    <w:p>
      <w:pPr>
        <w:pStyle w:val="ListBullet"/>
      </w:pPr>
      <w:r>
        <w:t>Lab Result Summary</w:t>
      </w:r>
    </w:p>
    <w:p>
      <w:pPr>
        <w:pStyle w:val="ListBullet"/>
      </w:pPr>
      <w:r>
        <w:t>Follow-up Assistant</w:t>
      </w:r>
    </w:p>
    <w:p>
      <w:pPr>
        <w:pStyle w:val="ListBullet"/>
      </w:pPr>
      <w:r>
        <w:t>Client Communication Assistant</w:t>
      </w:r>
    </w:p>
    <w:p>
      <w:pPr>
        <w:pStyle w:val="ListBullet"/>
      </w:pPr>
      <w:r>
        <w:t>Medication/prescription assistance</w:t>
      </w:r>
    </w:p>
    <w:p>
      <w:pPr>
        <w:pStyle w:val="ListBullet"/>
      </w:pPr>
      <w:r>
        <w:t>Operational forecasting</w:t>
      </w:r>
    </w:p>
    <w:p>
      <w:pPr>
        <w:pStyle w:val="ListBullet"/>
      </w:pPr>
      <w:r>
        <w:t>Inventory/expiry forecasting</w:t>
      </w:r>
    </w:p>
    <w:p>
      <w:pPr>
        <w:pStyle w:val="ListBullet"/>
      </w:pPr>
      <w:r>
        <w:t>Practice analytics</w:t>
      </w:r>
    </w:p>
    <w:p>
      <w:pPr>
        <w:pStyle w:val="ListBullet"/>
      </w:pPr>
      <w:r>
        <w:t>Natural-language reporting</w:t>
      </w:r>
    </w:p>
    <w:p>
      <w:pPr>
        <w:pStyle w:val="Heading1"/>
      </w:pPr>
      <w:r>
        <w:t>3. Human-in-the-Loop</w:t>
      </w:r>
    </w:p>
    <w:p>
      <w:pPr>
        <w:pStyle w:val="ListBullet"/>
      </w:pPr>
      <w:r>
        <w:t>AI suggestions must be clearly identified.</w:t>
      </w:r>
    </w:p>
    <w:p>
      <w:pPr>
        <w:pStyle w:val="ListBullet"/>
      </w:pPr>
      <w:r>
        <w:t>Clinician remains responsible for final clinical decisions.</w:t>
      </w:r>
    </w:p>
    <w:p>
      <w:pPr>
        <w:pStyle w:val="ListBullet"/>
      </w:pPr>
      <w:r>
        <w:t>AI cannot silently finalize diagnosis, prescription, procedure or discharge records.</w:t>
      </w:r>
    </w:p>
    <w:p>
      <w:pPr>
        <w:pStyle w:val="ListBullet"/>
      </w:pPr>
      <w:r>
        <w:t>AI-generated drafts require explicit acceptance/editing.</w:t>
      </w:r>
    </w:p>
    <w:p>
      <w:pPr>
        <w:pStyle w:val="ListBullet"/>
      </w:pPr>
      <w:r>
        <w:t>Audit AI suggestions and acceptance where clinically relevant.</w:t>
      </w:r>
    </w:p>
    <w:p>
      <w:pPr>
        <w:pStyle w:val="Heading1"/>
      </w:pPr>
      <w:r>
        <w:t>4. AI Data Foundation</w:t>
      </w:r>
    </w:p>
    <w:p>
      <w:pPr>
        <w:pStyle w:val="ListBullet"/>
      </w:pPr>
      <w:r>
        <w:t>Structured entities and timestamps</w:t>
      </w:r>
    </w:p>
    <w:p>
      <w:pPr>
        <w:pStyle w:val="ListBullet"/>
      </w:pPr>
      <w:r>
        <w:t>Patient timeline</w:t>
      </w:r>
    </w:p>
    <w:p>
      <w:pPr>
        <w:pStyle w:val="ListBullet"/>
      </w:pPr>
      <w:r>
        <w:t>Clinical event history</w:t>
      </w:r>
    </w:p>
    <w:p>
      <w:pPr>
        <w:pStyle w:val="ListBullet"/>
      </w:pPr>
      <w:r>
        <w:t>Document metadata</w:t>
      </w:r>
    </w:p>
    <w:p>
      <w:pPr>
        <w:pStyle w:val="ListBullet"/>
      </w:pPr>
      <w:r>
        <w:t>Outbox/domain events</w:t>
      </w:r>
    </w:p>
    <w:p>
      <w:pPr>
        <w:pStyle w:val="ListBullet"/>
      </w:pPr>
      <w:r>
        <w:t>Audit history</w:t>
      </w:r>
    </w:p>
    <w:p>
      <w:pPr>
        <w:pStyle w:val="ListBullet"/>
      </w:pPr>
      <w:r>
        <w:t>Controlled terminology/reference data</w:t>
      </w:r>
    </w:p>
    <w:p>
      <w:pPr>
        <w:pStyle w:val="ListBullet"/>
      </w:pPr>
      <w:r>
        <w:t>Tenant-scoped access policies</w:t>
      </w:r>
    </w:p>
    <w:p>
      <w:pPr>
        <w:pStyle w:val="Heading1"/>
      </w:pPr>
      <w:r>
        <w:t>5. AI Architecture Direction</w:t>
      </w:r>
    </w:p>
    <w:p>
      <w:r>
        <w:rPr>
          <w:rFonts w:ascii="Consolas" w:hAnsi="Consolas"/>
          <w:sz w:val="16"/>
        </w:rPr>
        <w:t>VetFlow transactional DBs</w:t>
        <w:br/>
        <w:t xml:space="preserve">        ↓</w:t>
        <w:br/>
        <w:t>Curated/authorized data access</w:t>
        <w:br/>
        <w:t xml:space="preserve">        ↓</w:t>
        <w:br/>
        <w:t>AI/Analytics services</w:t>
        <w:br/>
        <w:t xml:space="preserve">        ↓</w:t>
        <w:br/>
        <w:t>Human review</w:t>
        <w:br/>
        <w:t xml:space="preserve">        ↓</w:t>
        <w:br/>
        <w:t>Optional write-back through normal VetFlow commands</w:t>
      </w:r>
    </w:p>
    <w:p>
      <w:pPr>
        <w:pStyle w:val="Heading1"/>
      </w:pPr>
      <w:r>
        <w:t>6. Open-Source-First AI Direction</w:t>
      </w:r>
    </w:p>
    <w:p>
      <w:pPr>
        <w:pStyle w:val="ListBullet"/>
      </w:pPr>
      <w:r>
        <w:t>Ollama/open models for local development where appropriate.</w:t>
      </w:r>
    </w:p>
    <w:p>
      <w:pPr>
        <w:pStyle w:val="ListBullet"/>
      </w:pPr>
      <w:r>
        <w:t>Model provider abstraction so deployment can change.</w:t>
      </w:r>
    </w:p>
    <w:p>
      <w:pPr>
        <w:pStyle w:val="ListBullet"/>
      </w:pPr>
      <w:r>
        <w:t>Do not couple clinical workflows directly to a specific model vendor.</w:t>
      </w:r>
    </w:p>
    <w:p>
      <w:pPr>
        <w:pStyle w:val="ListBullet"/>
      </w:pPr>
      <w:r>
        <w:t>Use retrieval/search only when a use case demonstrates the need.</w:t>
      </w:r>
    </w:p>
    <w:p>
      <w:pPr>
        <w:pStyle w:val="ListBullet"/>
      </w:pPr>
      <w:r>
        <w:t>AI data access must inherit tenant and clinical authorization.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