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API, Security &amp; Integration Specification v1.0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API Principles</w:t>
      </w:r>
    </w:p>
    <w:p>
      <w:pPr>
        <w:pStyle w:val="ListBullet"/>
      </w:pPr>
      <w:r>
        <w:t>REST/OpenAPI.</w:t>
      </w:r>
    </w:p>
    <w:p>
      <w:pPr>
        <w:pStyle w:val="ListBullet"/>
      </w:pPr>
      <w:r>
        <w:t>Resource endpoints for retrieval and simple operations.</w:t>
      </w:r>
    </w:p>
    <w:p>
      <w:pPr>
        <w:pStyle w:val="ListBullet"/>
      </w:pPr>
      <w:r>
        <w:t>Workflow command endpoints for important state transitions.</w:t>
      </w:r>
    </w:p>
    <w:p>
      <w:pPr>
        <w:pStyle w:val="ListBullet"/>
      </w:pPr>
      <w:r>
        <w:t>Consistent validation and error contract.</w:t>
      </w:r>
    </w:p>
    <w:p>
      <w:pPr>
        <w:pStyle w:val="ListBullet"/>
      </w:pPr>
      <w:r>
        <w:t>Pagination/filtering/sorting for lists.</w:t>
      </w:r>
    </w:p>
    <w:p>
      <w:pPr>
        <w:pStyle w:val="ListBullet"/>
      </w:pPr>
      <w:r>
        <w:t>Idempotency for retried external/business operations where needed.</w:t>
      </w:r>
    </w:p>
    <w:p>
      <w:pPr>
        <w:pStyle w:val="ListBullet"/>
      </w:pPr>
      <w:r>
        <w:t>No business authorization decisions in Angular only.</w:t>
      </w:r>
    </w:p>
    <w:p>
      <w:pPr>
        <w:pStyle w:val="Heading1"/>
      </w:pPr>
      <w:r>
        <w:t>2. Core API Groups</w:t>
      </w:r>
    </w:p>
    <w:p>
      <w:r>
        <w:rPr>
          <w:rFonts w:ascii="Consolas" w:hAnsi="Consolas"/>
          <w:sz w:val="16"/>
        </w:rPr>
        <w:t>/api/tenants</w:t>
        <w:br/>
        <w:t>/api/branches</w:t>
        <w:br/>
        <w:t>/api/users</w:t>
        <w:br/>
        <w:t>/api/clients</w:t>
        <w:br/>
        <w:t>/api/animals</w:t>
        <w:br/>
        <w:t>/api/appointments</w:t>
        <w:br/>
        <w:t>/api/visits</w:t>
        <w:br/>
        <w:t>/api/encounters</w:t>
        <w:br/>
        <w:t>/api/diagnoses</w:t>
        <w:br/>
        <w:t>/api/prescriptions</w:t>
        <w:br/>
        <w:t>/api/diagnostics</w:t>
        <w:br/>
        <w:t>/api/vaccinations</w:t>
        <w:br/>
        <w:t>/api/procedures</w:t>
        <w:br/>
        <w:t>/api/surgeries</w:t>
        <w:br/>
        <w:t>/api/hospitalizations</w:t>
        <w:br/>
        <w:t>/api/inventory</w:t>
        <w:br/>
        <w:t>/api/pharmacy</w:t>
        <w:br/>
        <w:t>/api/estimates</w:t>
        <w:br/>
        <w:t>/api/invoices</w:t>
        <w:br/>
        <w:t>/api/payments</w:t>
        <w:br/>
        <w:t>/api/follow-ups</w:t>
        <w:br/>
        <w:t>/api/documents</w:t>
        <w:br/>
        <w:t>/api/reports</w:t>
      </w:r>
    </w:p>
    <w:p>
      <w:pPr>
        <w:pStyle w:val="Heading1"/>
      </w:pPr>
      <w:r>
        <w:t>3. Workflow Commands</w:t>
      </w:r>
    </w:p>
    <w:p>
      <w:r>
        <w:rPr>
          <w:rFonts w:ascii="Consolas" w:hAnsi="Consolas"/>
          <w:sz w:val="16"/>
        </w:rPr>
        <w:t>POST /appointments/{id}/check-in</w:t>
        <w:br/>
        <w:t>POST /appointments/{id}/cancel</w:t>
        <w:br/>
        <w:t>POST /appointments/{id}/reschedule</w:t>
        <w:br/>
        <w:t>POST /encounters/{id}/complete</w:t>
        <w:br/>
        <w:t>POST /prescriptions/{id}/dispense</w:t>
        <w:br/>
        <w:t>POST /diagnostic-orders/{id}/collect</w:t>
        <w:br/>
        <w:t>POST /diagnostic-results/{id}/review</w:t>
        <w:br/>
        <w:t>POST /vaccinations/{id}/finalize</w:t>
        <w:br/>
        <w:t>POST /invoices/{id}/issue</w:t>
        <w:br/>
        <w:t>POST /invoices/{id}/pay</w:t>
        <w:br/>
        <w:t>POST /invoices/{id}/refund</w:t>
        <w:br/>
        <w:t>POST /hospitalizations/{id}/discharge</w:t>
      </w:r>
    </w:p>
    <w:p>
      <w:pPr>
        <w:pStyle w:val="Heading1"/>
      </w:pPr>
      <w:r>
        <w:t>4. Client Portal API Boundary</w:t>
      </w:r>
    </w:p>
    <w:p>
      <w:r>
        <w:rPr>
          <w:rFonts w:ascii="Consolas" w:hAnsi="Consolas"/>
          <w:sz w:val="16"/>
        </w:rPr>
        <w:t>/api/portal/profile</w:t>
        <w:br/>
        <w:t>/api/portal/pets</w:t>
        <w:br/>
        <w:t>/api/portal/appointments</w:t>
        <w:br/>
        <w:t>/api/portal/medical-history</w:t>
        <w:br/>
        <w:t>/api/portal/prescriptions</w:t>
        <w:br/>
        <w:t>/api/portal/lab-results</w:t>
        <w:br/>
        <w:t>/api/portal/documents</w:t>
        <w:br/>
        <w:t>/api/portal/invoices</w:t>
        <w:br/>
        <w:t>/api/portal/notifications</w:t>
      </w:r>
    </w:p>
    <w:p>
      <w:pPr>
        <w:pStyle w:val="Heading1"/>
      </w:pPr>
      <w:r>
        <w:t>5. Security Model</w:t>
      </w:r>
    </w:p>
    <w:p>
      <w:pPr>
        <w:pStyle w:val="ListBullet"/>
      </w:pPr>
      <w:r>
        <w:t>Authentication: Keycloak OIDC/OAuth2.</w:t>
      </w:r>
    </w:p>
    <w:p>
      <w:pPr>
        <w:pStyle w:val="ListBullet"/>
      </w:pPr>
      <w:r>
        <w:t>Authorization: VetFlow roles, permissions, tenant and branch scope.</w:t>
      </w:r>
    </w:p>
    <w:p>
      <w:pPr>
        <w:pStyle w:val="ListBullet"/>
      </w:pPr>
      <w:r>
        <w:t>Identity link: IdentityProviderUserId.</w:t>
      </w:r>
    </w:p>
    <w:p>
      <w:pPr>
        <w:pStyle w:val="ListBullet"/>
      </w:pPr>
      <w:r>
        <w:t>Tenant context: resolved server-side.</w:t>
      </w:r>
    </w:p>
    <w:p>
      <w:pPr>
        <w:pStyle w:val="ListBullet"/>
      </w:pPr>
      <w:r>
        <w:t>Resource authorization: verify ownership/assignment before returning data.</w:t>
      </w:r>
    </w:p>
    <w:p>
      <w:pPr>
        <w:pStyle w:val="ListBullet"/>
      </w:pPr>
      <w:r>
        <w:t>Portal: explicit ClientPortalPetAccess and shareability rules.</w:t>
      </w:r>
    </w:p>
    <w:p>
      <w:pPr>
        <w:pStyle w:val="ListBullet"/>
      </w:pPr>
      <w:r>
        <w:t>Audit: privileged and sensitive actions.</w:t>
      </w:r>
    </w:p>
    <w:p>
      <w:pPr>
        <w:pStyle w:val="ListBullet"/>
      </w:pPr>
      <w:r>
        <w:t>Rate limiting: authentication, public and portal endpoints.</w:t>
      </w:r>
    </w:p>
    <w:p>
      <w:pPr>
        <w:pStyle w:val="ListBullet"/>
      </w:pPr>
      <w:r>
        <w:t>File security: type/size validation, malware-scanning integration point, secure object access.</w:t>
      </w:r>
    </w:p>
    <w:p>
      <w:pPr>
        <w:pStyle w:val="Heading1"/>
      </w:pPr>
      <w:r>
        <w:t>6. Error Contract</w:t>
      </w:r>
    </w:p>
    <w:p>
      <w:r>
        <w:rPr>
          <w:rFonts w:ascii="Consolas" w:hAnsi="Consolas"/>
          <w:sz w:val="16"/>
        </w:rPr>
        <w:t>{</w:t>
        <w:br/>
        <w:t xml:space="preserve">  "type": "https://vetflow/errors/business-rule",</w:t>
        <w:br/>
        <w:t xml:space="preserve">  "title": "Business rule violation",</w:t>
        <w:br/>
        <w:t xml:space="preserve">  "status": 409,</w:t>
        <w:br/>
        <w:t xml:space="preserve">  "code": "INVOICE_ALREADY_PAID",</w:t>
        <w:br/>
        <w:t xml:space="preserve">  "message": "A paid invoice cannot be directly modified.",</w:t>
        <w:br/>
        <w:t xml:space="preserve">  "traceId": "..." </w:t>
        <w:br/>
        <w:t>}</w:t>
      </w:r>
    </w:p>
    <w:p>
      <w:pPr>
        <w:pStyle w:val="Heading1"/>
      </w:pPr>
      <w:r>
        <w:t>7. Integration Strategy</w:t>
      </w:r>
    </w:p>
    <w:p>
      <w:pPr>
        <w:pStyle w:val="ListBullet"/>
      </w:pPr>
      <w:r>
        <w:t>Email/SMS/WhatsApp are adapters behind application interfaces.</w:t>
      </w:r>
    </w:p>
    <w:p>
      <w:pPr>
        <w:pStyle w:val="ListBullet"/>
      </w:pPr>
      <w:r>
        <w:t>Payment providers are adapters behind payment interfaces.</w:t>
      </w:r>
    </w:p>
    <w:p>
      <w:pPr>
        <w:pStyle w:val="ListBullet"/>
      </w:pPr>
      <w:r>
        <w:t>Laboratory/external systems can be integrated through dedicated adapters.</w:t>
      </w:r>
    </w:p>
    <w:p>
      <w:pPr>
        <w:pStyle w:val="ListBullet"/>
      </w:pPr>
      <w:r>
        <w:t>Outbox provides durable handoff.</w:t>
      </w:r>
    </w:p>
    <w:p>
      <w:pPr>
        <w:pStyle w:val="ListBullet"/>
      </w:pPr>
      <w:r>
        <w:t>RabbitMQ may be introduced when asynchronous delivery volume/decoupling warrants it.</w:t>
      </w:r>
    </w:p>
    <w:p>
      <w:pPr>
        <w:pStyle w:val="ListBullet"/>
      </w:pPr>
      <w:r>
        <w:t>Kafka is reserved for high-volume event streaming and analytics integration.</w:t>
      </w:r>
    </w:p>
    <w:p>
      <w:pPr>
        <w:pStyle w:val="Heading1"/>
      </w:pPr>
      <w:r>
        <w:t>8. Versioning</w:t>
      </w:r>
    </w:p>
    <w:p>
      <w:pPr>
        <w:pStyle w:val="ListBullet"/>
      </w:pPr>
      <w:r>
        <w:t>Prefer additive API changes.</w:t>
      </w:r>
    </w:p>
    <w:p>
      <w:pPr>
        <w:pStyle w:val="ListBullet"/>
      </w:pPr>
      <w:r>
        <w:t>Deprecate before breaking where external consumers exist.</w:t>
      </w:r>
    </w:p>
    <w:p>
      <w:pPr>
        <w:pStyle w:val="ListBullet"/>
      </w:pPr>
      <w:r>
        <w:t>Version contracts when compatibility requires it.</w:t>
      </w:r>
    </w:p>
    <w:p>
      <w:pPr>
        <w:pStyle w:val="ListBullet"/>
      </w:pPr>
      <w:r>
        <w:t>Document all externally consumed APIs in OpenAPI.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