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VetFlow — Antigravity Master Implementation Backlog</w:t>
      </w:r>
    </w:p>
    <w:p>
      <w:pPr>
        <w:jc w:val="center"/>
      </w:pPr>
      <w:r>
        <w:rPr>
          <w:i/>
        </w:rPr>
        <w:t>VetFlow • Antigravity Implementation Backlog • v1.0</w:t>
      </w:r>
    </w:p>
    <w:p>
      <w:r>
        <w:br w:type="page"/>
      </w:r>
    </w:p>
    <w:p>
      <w:pPr>
        <w:pStyle w:val="Heading1"/>
      </w:pPr>
      <w:r>
        <w:t>1. How Antigravity should consume the requirements</w:t>
      </w:r>
    </w:p>
    <w:p>
      <w:r>
        <w:t>Antigravity should implement VetFlow as a sequence of small, dependency-aware vertical stories. The BRD/PRD/SDD are source-of-truth context; each story is an executable change request. Antigravity should never be asked to implement an entire epic in one pass.</w:t>
      </w:r>
    </w:p>
    <w:p>
      <w:pPr>
        <w:pStyle w:val="Heading1"/>
      </w:pPr>
      <w:r>
        <w:t>2. Story hierarchy</w:t>
      </w:r>
    </w:p>
    <w:p>
      <w:r>
        <w:t>Product → Release → Epic → Story → Task → Test/Acceptance Evidence</w:t>
      </w:r>
    </w:p>
    <w:p>
      <w:pPr>
        <w:pStyle w:val="Heading1"/>
      </w:pPr>
      <w:r>
        <w:t>3. Story size rule</w:t>
      </w:r>
    </w:p>
    <w:p>
      <w:pPr>
        <w:pStyle w:val="ListBullet"/>
      </w:pPr>
      <w:r>
        <w:t>One story should normally be implementable in one focused agent session or a small number of tightly related sessions.</w:t>
      </w:r>
    </w:p>
    <w:p>
      <w:pPr>
        <w:pStyle w:val="ListBullet"/>
      </w:pPr>
      <w:r>
        <w:t>Each story must leave the repository buildable and tests passing.</w:t>
      </w:r>
    </w:p>
    <w:p>
      <w:pPr>
        <w:pStyle w:val="ListBullet"/>
      </w:pPr>
      <w:r>
        <w:t>Stories should have one clear business/technical outcome.</w:t>
      </w:r>
    </w:p>
    <w:p>
      <w:pPr>
        <w:pStyle w:val="ListBullet"/>
      </w:pPr>
      <w:r>
        <w:t>Do not split purely by file; split by capability or vertical slice.</w:t>
      </w:r>
    </w:p>
    <w:p>
      <w:pPr>
        <w:pStyle w:val="ListBullet"/>
      </w:pPr>
      <w:r>
        <w:t>Do not combine unrelated frontend/backend/database work unless they form one independently testable vertical capability.</w:t>
      </w:r>
    </w:p>
    <w:p>
      <w:pPr>
        <w:pStyle w:val="ListBullet"/>
      </w:pPr>
      <w:r>
        <w:t>Foundation stories may be technical because they enable every later business story.</w:t>
      </w:r>
    </w:p>
    <w:p>
      <w:pPr>
        <w:pStyle w:val="ListBullet"/>
      </w:pPr>
      <w:r>
        <w:t>Never make an AI agent implement all of a module before the workflow is understood.</w:t>
      </w:r>
    </w:p>
    <w:p>
      <w:pPr>
        <w:pStyle w:val="Heading1"/>
      </w:pPr>
      <w:r>
        <w:t>4. Standard story contract</w:t>
      </w:r>
    </w:p>
    <w:p>
      <w:r>
        <w:t>Story ID:</w:t>
        <w:br/>
        <w:t>Epic:</w:t>
        <w:br/>
        <w:t>Title:</w:t>
        <w:br/>
        <w:t>Goal:</w:t>
        <w:br/>
        <w:t>Why:</w:t>
        <w:br/>
        <w:t>Dependencies:</w:t>
        <w:br/>
        <w:t>Preconditions:</w:t>
        <w:br/>
        <w:t>Scope:</w:t>
        <w:br/>
        <w:t>Out of scope:</w:t>
        <w:br/>
        <w:t>Business context:</w:t>
        <w:br/>
        <w:t>Detailed implementation instructions:</w:t>
        <w:br/>
        <w:t>Data model:</w:t>
        <w:br/>
        <w:t>API:</w:t>
        <w:br/>
        <w:t>Authorization:</w:t>
        <w:br/>
        <w:t>UI:</w:t>
        <w:br/>
        <w:t>Validation/business rules:</w:t>
        <w:br/>
        <w:t>Audit:</w:t>
        <w:br/>
        <w:t>Events/outbox:</w:t>
        <w:br/>
        <w:t>Documents:</w:t>
        <w:br/>
        <w:t>Tests:</w:t>
        <w:br/>
        <w:t>Acceptance criteria:</w:t>
        <w:br/>
        <w:t>Definition of done:</w:t>
        <w:br/>
        <w:t>Antigravity execution notes:</w:t>
        <w:br/>
      </w:r>
    </w:p>
    <w:p>
      <w:pPr>
        <w:pStyle w:val="Heading1"/>
      </w:pPr>
      <w:r>
        <w:t>5. Definition of Done</w:t>
      </w:r>
    </w:p>
    <w:p>
      <w:pPr>
        <w:pStyle w:val="ListBullet"/>
      </w:pPr>
      <w:r>
        <w:t>Implementation follows approved architecture and module ownership.</w:t>
      </w:r>
    </w:p>
    <w:p>
      <w:pPr>
        <w:pStyle w:val="ListBullet"/>
      </w:pPr>
      <w:r>
        <w:t>Build succeeds.</w:t>
      </w:r>
    </w:p>
    <w:p>
      <w:pPr>
        <w:pStyle w:val="ListBullet"/>
      </w:pPr>
      <w:r>
        <w:t>Unit/integration/API tests added and passing.</w:t>
      </w:r>
    </w:p>
    <w:p>
      <w:pPr>
        <w:pStyle w:val="ListBullet"/>
      </w:pPr>
      <w:r>
        <w:t>Authorization and tenant isolation covered.</w:t>
      </w:r>
    </w:p>
    <w:p>
      <w:pPr>
        <w:pStyle w:val="ListBullet"/>
      </w:pPr>
      <w:r>
        <w:t>Database migration included when schema changes.</w:t>
      </w:r>
    </w:p>
    <w:p>
      <w:pPr>
        <w:pStyle w:val="ListBullet"/>
      </w:pPr>
      <w:r>
        <w:t>Seed/reference data updated when required.</w:t>
      </w:r>
    </w:p>
    <w:p>
      <w:pPr>
        <w:pStyle w:val="ListBullet"/>
      </w:pPr>
      <w:r>
        <w:t>OpenAPI updated for API changes.</w:t>
      </w:r>
    </w:p>
    <w:p>
      <w:pPr>
        <w:pStyle w:val="ListBullet"/>
      </w:pPr>
      <w:r>
        <w:t>Audit/outbox/document behavior implemented where applicable.</w:t>
      </w:r>
    </w:p>
    <w:p>
      <w:pPr>
        <w:pStyle w:val="ListBullet"/>
      </w:pPr>
      <w:r>
        <w:t>Frontend responsive and consistent with VetFlow design system.</w:t>
      </w:r>
    </w:p>
    <w:p>
      <w:pPr>
        <w:pStyle w:val="ListBullet"/>
      </w:pPr>
      <w:r>
        <w:t>No unrelated refactoring.</w:t>
      </w:r>
    </w:p>
    <w:p>
      <w:pPr>
        <w:pStyle w:val="ListBullet"/>
      </w:pPr>
      <w:r>
        <w:t>No speculative abstraction.</w:t>
      </w:r>
    </w:p>
    <w:p>
      <w:pPr>
        <w:pStyle w:val="ListBullet"/>
      </w:pPr>
      <w:r>
        <w:t>Story acceptance criteria demonstrated with tests or reproducible evidence.</w:t>
      </w:r>
    </w:p>
    <w:p>
      <w:pPr>
        <w:pStyle w:val="ListBullet"/>
      </w:pPr>
      <w:r>
        <w:t>Implementation notes/ADR added if a new architectural decision was required.</w:t>
      </w:r>
    </w:p>
    <w:p>
      <w:pPr>
        <w:pStyle w:val="Heading1"/>
      </w:pPr>
      <w:r>
        <w:t>6. Dependency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Release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Approx. stories</w:t>
            </w:r>
          </w:p>
        </w:tc>
      </w:tr>
      <w:tr>
        <w:tc>
          <w:tcPr>
            <w:tcW w:type="dxa" w:w="3360"/>
          </w:tcPr>
          <w:p>
            <w:r>
              <w:t>R0</w:t>
            </w:r>
          </w:p>
        </w:tc>
        <w:tc>
          <w:tcPr>
            <w:tcW w:type="dxa" w:w="3360"/>
          </w:tcPr>
          <w:p>
            <w:r>
              <w:t>Repository + engineering foundation</w:t>
            </w:r>
          </w:p>
        </w:tc>
        <w:tc>
          <w:tcPr>
            <w:tcW w:type="dxa" w:w="3360"/>
          </w:tcPr>
          <w:p>
            <w:r>
              <w:t>15</w:t>
            </w:r>
          </w:p>
        </w:tc>
      </w:tr>
      <w:tr>
        <w:tc>
          <w:tcPr>
            <w:tcW w:type="dxa" w:w="3360"/>
          </w:tcPr>
          <w:p>
            <w:r>
              <w:t>R1</w:t>
            </w:r>
          </w:p>
        </w:tc>
        <w:tc>
          <w:tcPr>
            <w:tcW w:type="dxa" w:w="3360"/>
          </w:tcPr>
          <w:p>
            <w:r>
              <w:t>Platform, tenancy, identity, authorization</w:t>
            </w:r>
          </w:p>
        </w:tc>
        <w:tc>
          <w:tcPr>
            <w:tcW w:type="dxa" w:w="3360"/>
          </w:tcPr>
          <w:p>
            <w:r>
              <w:t>20</w:t>
            </w:r>
          </w:p>
        </w:tc>
      </w:tr>
      <w:tr>
        <w:tc>
          <w:tcPr>
            <w:tcW w:type="dxa" w:w="3360"/>
          </w:tcPr>
          <w:p>
            <w:r>
              <w:t>R2</w:t>
            </w:r>
          </w:p>
        </w:tc>
        <w:tc>
          <w:tcPr>
            <w:tcW w:type="dxa" w:w="3360"/>
          </w:tcPr>
          <w:p>
            <w:r>
              <w:t>Practice, clients, animals</w:t>
            </w:r>
          </w:p>
        </w:tc>
        <w:tc>
          <w:tcPr>
            <w:tcW w:type="dxa" w:w="3360"/>
          </w:tcPr>
          <w:p>
            <w:r>
              <w:t>18</w:t>
            </w:r>
          </w:p>
        </w:tc>
      </w:tr>
      <w:tr>
        <w:tc>
          <w:tcPr>
            <w:tcW w:type="dxa" w:w="3360"/>
          </w:tcPr>
          <w:p>
            <w:r>
              <w:t>R3</w:t>
            </w:r>
          </w:p>
        </w:tc>
        <w:tc>
          <w:tcPr>
            <w:tcW w:type="dxa" w:w="3360"/>
          </w:tcPr>
          <w:p>
            <w:r>
              <w:t>Scheduling + reception</w:t>
            </w:r>
          </w:p>
        </w:tc>
        <w:tc>
          <w:tcPr>
            <w:tcW w:type="dxa" w:w="3360"/>
          </w:tcPr>
          <w:p>
            <w:r>
              <w:t>18</w:t>
            </w:r>
          </w:p>
        </w:tc>
      </w:tr>
      <w:tr>
        <w:tc>
          <w:tcPr>
            <w:tcW w:type="dxa" w:w="3360"/>
          </w:tcPr>
          <w:p>
            <w:r>
              <w:t>R4</w:t>
            </w:r>
          </w:p>
        </w:tc>
        <w:tc>
          <w:tcPr>
            <w:tcW w:type="dxa" w:w="3360"/>
          </w:tcPr>
          <w:p>
            <w:r>
              <w:t>Clinical encounter</w:t>
            </w:r>
          </w:p>
        </w:tc>
        <w:tc>
          <w:tcPr>
            <w:tcW w:type="dxa" w:w="3360"/>
          </w:tcPr>
          <w:p>
            <w:r>
              <w:t>25</w:t>
            </w:r>
          </w:p>
        </w:tc>
      </w:tr>
      <w:tr>
        <w:tc>
          <w:tcPr>
            <w:tcW w:type="dxa" w:w="3360"/>
          </w:tcPr>
          <w:p>
            <w:r>
              <w:t>R5</w:t>
            </w:r>
          </w:p>
        </w:tc>
        <w:tc>
          <w:tcPr>
            <w:tcW w:type="dxa" w:w="3360"/>
          </w:tcPr>
          <w:p>
            <w:r>
              <w:t>Prescription + pharmacy</w:t>
            </w:r>
          </w:p>
        </w:tc>
        <w:tc>
          <w:tcPr>
            <w:tcW w:type="dxa" w:w="3360"/>
          </w:tcPr>
          <w:p>
            <w:r>
              <w:t>18</w:t>
            </w:r>
          </w:p>
        </w:tc>
      </w:tr>
      <w:tr>
        <w:tc>
          <w:tcPr>
            <w:tcW w:type="dxa" w:w="3360"/>
          </w:tcPr>
          <w:p>
            <w:r>
              <w:t>R6</w:t>
            </w:r>
          </w:p>
        </w:tc>
        <w:tc>
          <w:tcPr>
            <w:tcW w:type="dxa" w:w="3360"/>
          </w:tcPr>
          <w:p>
            <w:r>
              <w:t>Diagnostics + vaccination</w:t>
            </w:r>
          </w:p>
        </w:tc>
        <w:tc>
          <w:tcPr>
            <w:tcW w:type="dxa" w:w="3360"/>
          </w:tcPr>
          <w:p>
            <w:r>
              <w:t>22</w:t>
            </w:r>
          </w:p>
        </w:tc>
      </w:tr>
      <w:tr>
        <w:tc>
          <w:tcPr>
            <w:tcW w:type="dxa" w:w="3360"/>
          </w:tcPr>
          <w:p>
            <w:r>
              <w:t>R7</w:t>
            </w:r>
          </w:p>
        </w:tc>
        <w:tc>
          <w:tcPr>
            <w:tcW w:type="dxa" w:w="3360"/>
          </w:tcPr>
          <w:p>
            <w:r>
              <w:t>Procedures, surgery, hospitalization</w:t>
            </w:r>
          </w:p>
        </w:tc>
        <w:tc>
          <w:tcPr>
            <w:tcW w:type="dxa" w:w="3360"/>
          </w:tcPr>
          <w:p>
            <w:r>
              <w:t>20</w:t>
            </w:r>
          </w:p>
        </w:tc>
      </w:tr>
      <w:tr>
        <w:tc>
          <w:tcPr>
            <w:tcW w:type="dxa" w:w="3360"/>
          </w:tcPr>
          <w:p>
            <w:r>
              <w:t>R8</w:t>
            </w:r>
          </w:p>
        </w:tc>
        <w:tc>
          <w:tcPr>
            <w:tcW w:type="dxa" w:w="3360"/>
          </w:tcPr>
          <w:p>
            <w:r>
              <w:t>Billing + inventory</w:t>
            </w:r>
          </w:p>
        </w:tc>
        <w:tc>
          <w:tcPr>
            <w:tcW w:type="dxa" w:w="3360"/>
          </w:tcPr>
          <w:p>
            <w:r>
              <w:t>25</w:t>
            </w:r>
          </w:p>
        </w:tc>
      </w:tr>
      <w:tr>
        <w:tc>
          <w:tcPr>
            <w:tcW w:type="dxa" w:w="3360"/>
          </w:tcPr>
          <w:p>
            <w:r>
              <w:t>R9</w:t>
            </w:r>
          </w:p>
        </w:tc>
        <w:tc>
          <w:tcPr>
            <w:tcW w:type="dxa" w:w="3360"/>
          </w:tcPr>
          <w:p>
            <w:r>
              <w:t>Documents + portal + notifications</w:t>
            </w:r>
          </w:p>
        </w:tc>
        <w:tc>
          <w:tcPr>
            <w:tcW w:type="dxa" w:w="3360"/>
          </w:tcPr>
          <w:p>
            <w:r>
              <w:t>25</w:t>
            </w:r>
          </w:p>
        </w:tc>
      </w:tr>
      <w:tr>
        <w:tc>
          <w:tcPr>
            <w:tcW w:type="dxa" w:w="3360"/>
          </w:tcPr>
          <w:p>
            <w:r>
              <w:t>R10</w:t>
            </w:r>
          </w:p>
        </w:tc>
        <w:tc>
          <w:tcPr>
            <w:tcW w:type="dxa" w:w="3360"/>
          </w:tcPr>
          <w:p>
            <w:r>
              <w:t>Reports + hardening + production</w:t>
            </w:r>
          </w:p>
        </w:tc>
        <w:tc>
          <w:tcPr>
            <w:tcW w:type="dxa" w:w="3360"/>
          </w:tcPr>
          <w:p>
            <w:r>
              <w:t>25</w:t>
            </w:r>
          </w:p>
        </w:tc>
      </w:tr>
      <w:tr>
        <w:tc>
          <w:tcPr>
            <w:tcW w:type="dxa" w:w="3360"/>
          </w:tcPr>
          <w:p>
            <w:r>
              <w:t>R11</w:t>
            </w:r>
          </w:p>
        </w:tc>
        <w:tc>
          <w:tcPr>
            <w:tcW w:type="dxa" w:w="3360"/>
          </w:tcPr>
          <w:p>
            <w:r>
              <w:t>AI-ready foundation/future AI</w:t>
            </w:r>
          </w:p>
        </w:tc>
        <w:tc>
          <w:tcPr>
            <w:tcW w:type="dxa" w:w="3360"/>
          </w:tcPr>
          <w:p>
            <w:r>
              <w:t>10+</w:t>
            </w:r>
          </w:p>
        </w:tc>
      </w:tr>
    </w:tbl>
    <w:p>
      <w:pPr>
        <w:pStyle w:val="Heading1"/>
      </w:pPr>
      <w:r>
        <w:t>7. Recommended Antigravity operating loop</w:t>
      </w:r>
    </w:p>
    <w:p>
      <w:pPr>
        <w:pStyle w:val="ListNumber"/>
      </w:pPr>
      <w:r>
        <w:t>Read the master context and relevant source documents.</w:t>
      </w:r>
    </w:p>
    <w:p>
      <w:pPr>
        <w:pStyle w:val="ListNumber"/>
      </w:pPr>
      <w:r>
        <w:t>Read the current story only; inspect the repository before changing anything.</w:t>
      </w:r>
    </w:p>
    <w:p>
      <w:pPr>
        <w:pStyle w:val="ListNumber"/>
      </w:pPr>
      <w:r>
        <w:t>Create/update a short implementation plan.</w:t>
      </w:r>
    </w:p>
    <w:p>
      <w:pPr>
        <w:pStyle w:val="ListNumber"/>
      </w:pPr>
      <w:r>
        <w:t>Implement the story end-to-end.</w:t>
      </w:r>
    </w:p>
    <w:p>
      <w:pPr>
        <w:pStyle w:val="ListNumber"/>
      </w:pPr>
      <w:r>
        <w:t>Run focused tests.</w:t>
      </w:r>
    </w:p>
    <w:p>
      <w:pPr>
        <w:pStyle w:val="ListNumber"/>
      </w:pPr>
      <w:r>
        <w:t>Run broader regression tests.</w:t>
      </w:r>
    </w:p>
    <w:p>
      <w:pPr>
        <w:pStyle w:val="ListNumber"/>
      </w:pPr>
      <w:r>
        <w:t>Inspect migrations/API/UI behavior.</w:t>
      </w:r>
    </w:p>
    <w:p>
      <w:pPr>
        <w:pStyle w:val="ListNumber"/>
      </w:pPr>
      <w:r>
        <w:t>Compare implementation against every acceptance criterion.</w:t>
      </w:r>
    </w:p>
    <w:p>
      <w:pPr>
        <w:pStyle w:val="ListNumber"/>
      </w:pPr>
      <w:r>
        <w:t>Update story status/evidence.</w:t>
      </w:r>
    </w:p>
    <w:p>
      <w:pPr>
        <w:pStyle w:val="ListNumber"/>
      </w:pPr>
      <w:r>
        <w:t>Commit only the story scope.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VetFlow — Antigravity Implementation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