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Business Requirements Document (BRD)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VetFlow is a veterinary practice management platform designed around real veterinary workflows rather than a collection of CRUD screens. It supports practice administration, reception, client and animal management, appointments, clinical care, diagnostics, pharmacy, inventory, billing, hospitalization, documents, client self-service, reporting, audit and future AI-assisted workflows.</w:t>
      </w:r>
    </w:p>
    <w:p>
      <w:r>
        <w:t>The product must be safe for clinical operations, tenant-isolated, auditable, printable/PDF-capable, mobile-friendly and extensible without forcing premature microservices or generic abstractions.</w:t>
      </w:r>
    </w:p>
    <w:p>
      <w:pPr>
        <w:pStyle w:val="Heading1"/>
      </w:pPr>
      <w:r>
        <w:t>2. Business Vision</w:t>
      </w:r>
    </w:p>
    <w:p>
      <w:r>
        <w:t>Provide a modern, reliable and workflow-driven digital operating system for veterinary practices, from first client contact through appointment, clinical encounter, treatment, diagnostics, dispensing, billing, discharge and follow-up.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Digitize the complete veterinary patient journey.</w:t>
      </w:r>
    </w:p>
    <w:p>
      <w:pPr>
        <w:pStyle w:val="ListBullet"/>
      </w:pPr>
      <w:r>
        <w:t>Reduce duplicate client/patient records and manual data entry.</w:t>
      </w:r>
    </w:p>
    <w:p>
      <w:pPr>
        <w:pStyle w:val="ListBullet"/>
      </w:pPr>
      <w:r>
        <w:t>Give veterinarians a longitudinal patient timeline.</w:t>
      </w:r>
    </w:p>
    <w:p>
      <w:pPr>
        <w:pStyle w:val="ListBullet"/>
      </w:pPr>
      <w:r>
        <w:t>Improve appointment, waiting-room and follow-up management.</w:t>
      </w:r>
    </w:p>
    <w:p>
      <w:pPr>
        <w:pStyle w:val="ListBullet"/>
      </w:pPr>
      <w:r>
        <w:t>Connect clinical actions to diagnostics, pharmacy, inventory and billing.</w:t>
      </w:r>
    </w:p>
    <w:p>
      <w:pPr>
        <w:pStyle w:val="ListBullet"/>
      </w:pPr>
      <w:r>
        <w:t>Maintain strong clinical auditability and controlled correction workflows.</w:t>
      </w:r>
    </w:p>
    <w:p>
      <w:pPr>
        <w:pStyle w:val="ListBullet"/>
      </w:pPr>
      <w:r>
        <w:t>Give pet owners secure access to permitted pet information.</w:t>
      </w:r>
    </w:p>
    <w:p>
      <w:pPr>
        <w:pStyle w:val="ListBullet"/>
      </w:pPr>
      <w:r>
        <w:t>Support multi-branch practices while enforcing tenant and branch isolation.</w:t>
      </w:r>
    </w:p>
    <w:p>
      <w:pPr>
        <w:pStyle w:val="ListBullet"/>
      </w:pPr>
      <w:r>
        <w:t>Provide professional printable and downloadable PDF documents.</w:t>
      </w:r>
    </w:p>
    <w:p>
      <w:pPr>
        <w:pStyle w:val="ListBullet"/>
      </w:pPr>
      <w:r>
        <w:t>Create a clean data foundation for future AI, analytics and automation.</w:t>
      </w:r>
    </w:p>
    <w:p>
      <w:pPr>
        <w:pStyle w:val="ListBullet"/>
      </w:pPr>
      <w:r>
        <w:t>Remain open-source-first and cloud-portable.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Needs</w:t>
            </w:r>
          </w:p>
        </w:tc>
      </w:tr>
      <w:tr>
        <w:tc>
          <w:tcPr>
            <w:tcW w:type="dxa" w:w="5040"/>
          </w:tcPr>
          <w:p>
            <w:r>
              <w:t>Platform/Super Admin</w:t>
            </w:r>
          </w:p>
        </w:tc>
        <w:tc>
          <w:tcPr>
            <w:tcW w:type="dxa" w:w="5040"/>
          </w:tcPr>
          <w:p>
            <w:r>
              <w:t>Tenant lifecycle, subscriptions, platform configuration, audit</w:t>
            </w:r>
          </w:p>
        </w:tc>
      </w:tr>
      <w:tr>
        <w:tc>
          <w:tcPr>
            <w:tcW w:type="dxa" w:w="5040"/>
          </w:tcPr>
          <w:p>
            <w:r>
              <w:t>Practice Owner</w:t>
            </w:r>
          </w:p>
        </w:tc>
        <w:tc>
          <w:tcPr>
            <w:tcW w:type="dxa" w:w="5040"/>
          </w:tcPr>
          <w:p>
            <w:r>
              <w:t>Practice operations, users, branches, finance, reporting</w:t>
            </w:r>
          </w:p>
        </w:tc>
      </w:tr>
      <w:tr>
        <w:tc>
          <w:tcPr>
            <w:tcW w:type="dxa" w:w="5040"/>
          </w:tcPr>
          <w:p>
            <w:r>
              <w:t>Veterinarian</w:t>
            </w:r>
          </w:p>
        </w:tc>
        <w:tc>
          <w:tcPr>
            <w:tcW w:type="dxa" w:w="5040"/>
          </w:tcPr>
          <w:p>
            <w:r>
              <w:t>Clinical workflow, history, diagnosis, treatment, prescription, diagnostics</w:t>
            </w:r>
          </w:p>
        </w:tc>
      </w:tr>
      <w:tr>
        <w:tc>
          <w:tcPr>
            <w:tcW w:type="dxa" w:w="5040"/>
          </w:tcPr>
          <w:p>
            <w:r>
              <w:t>Nurse/Technician</w:t>
            </w:r>
          </w:p>
        </w:tc>
        <w:tc>
          <w:tcPr>
            <w:tcW w:type="dxa" w:w="5040"/>
          </w:tcPr>
          <w:p>
            <w:r>
              <w:t>Vitals, samples, treatment, hospitalization, dispensing</w:t>
            </w:r>
          </w:p>
        </w:tc>
      </w:tr>
      <w:tr>
        <w:tc>
          <w:tcPr>
            <w:tcW w:type="dxa" w:w="5040"/>
          </w:tcPr>
          <w:p>
            <w:r>
              <w:t>Receptionist</w:t>
            </w:r>
          </w:p>
        </w:tc>
        <w:tc>
          <w:tcPr>
            <w:tcW w:type="dxa" w:w="5040"/>
          </w:tcPr>
          <w:p>
            <w:r>
              <w:t>Clients, appointments, check-in, queue, billing support</w:t>
            </w:r>
          </w:p>
        </w:tc>
      </w:tr>
      <w:tr>
        <w:tc>
          <w:tcPr>
            <w:tcW w:type="dxa" w:w="5040"/>
          </w:tcPr>
          <w:p>
            <w:r>
              <w:t>Pharmacy/Inventory Staff</w:t>
            </w:r>
          </w:p>
        </w:tc>
        <w:tc>
          <w:tcPr>
            <w:tcW w:type="dxa" w:w="5040"/>
          </w:tcPr>
          <w:p>
            <w:r>
              <w:t>Products, batches, stock, purchase, dispensing, expiry</w:t>
            </w:r>
          </w:p>
        </w:tc>
      </w:tr>
      <w:tr>
        <w:tc>
          <w:tcPr>
            <w:tcW w:type="dxa" w:w="5040"/>
          </w:tcPr>
          <w:p>
            <w:r>
              <w:t>Finance/Billing Staff</w:t>
            </w:r>
          </w:p>
        </w:tc>
        <w:tc>
          <w:tcPr>
            <w:tcW w:type="dxa" w:w="5040"/>
          </w:tcPr>
          <w:p>
            <w:r>
              <w:t>Estimates, invoices, payments, refunds, receipts</w:t>
            </w:r>
          </w:p>
        </w:tc>
      </w:tr>
      <w:tr>
        <w:tc>
          <w:tcPr>
            <w:tcW w:type="dxa" w:w="5040"/>
          </w:tcPr>
          <w:p>
            <w:r>
              <w:t>Pet Owner</w:t>
            </w:r>
          </w:p>
        </w:tc>
        <w:tc>
          <w:tcPr>
            <w:tcW w:type="dxa" w:w="5040"/>
          </w:tcPr>
          <w:p>
            <w:r>
              <w:t>Pets, appointments, records, prescriptions, lab results, documents, invoices</w:t>
            </w:r>
          </w:p>
        </w:tc>
      </w:tr>
      <w:tr>
        <w:tc>
          <w:tcPr>
            <w:tcW w:type="dxa" w:w="5040"/>
          </w:tcPr>
          <w:p>
            <w:r>
              <w:t>Platform/Engineering</w:t>
            </w:r>
          </w:p>
        </w:tc>
        <w:tc>
          <w:tcPr>
            <w:tcW w:type="dxa" w:w="5040"/>
          </w:tcPr>
          <w:p>
            <w:r>
              <w:t>Security, tenancy, reliability, observability, extensibility</w:t>
            </w:r>
          </w:p>
        </w:tc>
      </w:tr>
    </w:tbl>
    <w:p>
      <w:pPr>
        <w:pStyle w:val="Heading1"/>
      </w:pPr>
      <w:r>
        <w:t>5. Product Scope</w:t>
      </w:r>
    </w:p>
    <w:p>
      <w:pPr>
        <w:pStyle w:val="Heading1"/>
      </w:pPr>
      <w:r>
        <w:t>5.1 In Scope</w:t>
      </w:r>
    </w:p>
    <w:p>
      <w:pPr>
        <w:pStyle w:val="ListBullet"/>
      </w:pPr>
      <w:r>
        <w:t>Tenant/control-plane management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Branches and practice settings</w:t>
      </w:r>
    </w:p>
    <w:p>
      <w:pPr>
        <w:pStyle w:val="ListBullet"/>
      </w:pPr>
      <w:r>
        <w:t>Clients and contacts</w:t>
      </w:r>
    </w:p>
    <w:p>
      <w:pPr>
        <w:pStyle w:val="ListBullet"/>
      </w:pPr>
      <w:r>
        <w:t>Animals/patient profiles</w:t>
      </w:r>
    </w:p>
    <w:p>
      <w:pPr>
        <w:pStyle w:val="ListBullet"/>
      </w:pPr>
      <w:r>
        <w:t>Appointments, calendar, check-in, walk-ins and waiting queue</w:t>
      </w:r>
    </w:p>
    <w:p>
      <w:pPr>
        <w:pStyle w:val="ListBullet"/>
      </w:pPr>
      <w:r>
        <w:t>Encounters, vitals, history, diagnosis and treatment</w:t>
      </w:r>
    </w:p>
    <w:p>
      <w:pPr>
        <w:pStyle w:val="ListBullet"/>
      </w:pPr>
      <w:r>
        <w:t>Prescriptions and dispensing</w:t>
      </w:r>
    </w:p>
    <w:p>
      <w:pPr>
        <w:pStyle w:val="ListBullet"/>
      </w:pPr>
      <w:r>
        <w:t>Diagnostics and lab workflow</w:t>
      </w:r>
    </w:p>
    <w:p>
      <w:pPr>
        <w:pStyle w:val="ListBullet"/>
      </w:pPr>
      <w:r>
        <w:t>Vaccinations</w:t>
      </w:r>
    </w:p>
    <w:p>
      <w:pPr>
        <w:pStyle w:val="ListBullet"/>
      </w:pPr>
      <w:r>
        <w:t>Procedures and surgery</w:t>
      </w:r>
    </w:p>
    <w:p>
      <w:pPr>
        <w:pStyle w:val="ListBullet"/>
      </w:pPr>
      <w:r>
        <w:t>Hospitalization</w:t>
      </w:r>
    </w:p>
    <w:p>
      <w:pPr>
        <w:pStyle w:val="ListBullet"/>
      </w:pPr>
      <w:r>
        <w:t>Inventory, batches and purchasing</w:t>
      </w:r>
    </w:p>
    <w:p>
      <w:pPr>
        <w:pStyle w:val="ListBullet"/>
      </w:pPr>
      <w:r>
        <w:t>Estimates, charges, invoices, payments and refunds</w:t>
      </w:r>
    </w:p>
    <w:p>
      <w:pPr>
        <w:pStyle w:val="ListBullet"/>
      </w:pPr>
      <w:r>
        <w:t>Follow-ups and reminders</w:t>
      </w:r>
    </w:p>
    <w:p>
      <w:pPr>
        <w:pStyle w:val="ListBullet"/>
      </w:pPr>
      <w:r>
        <w:t>Documents and PDF generation/download/printing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and reporting</w:t>
      </w:r>
    </w:p>
    <w:p>
      <w:pPr>
        <w:pStyle w:val="ListBullet"/>
      </w:pPr>
      <w:r>
        <w:t>Transactional outbox and integration-ready events</w:t>
      </w:r>
    </w:p>
    <w:p>
      <w:pPr>
        <w:pStyle w:val="Heading1"/>
      </w:pPr>
      <w:r>
        <w:t>5.2 Out of Scope for V1</w:t>
      </w:r>
    </w:p>
    <w:p>
      <w:pPr>
        <w:pStyle w:val="ListBullet"/>
      </w:pPr>
      <w:r>
        <w:t>AI-driven clinical decisions</w:t>
      </w:r>
    </w:p>
    <w:p>
      <w:pPr>
        <w:pStyle w:val="ListBullet"/>
      </w:pPr>
      <w:r>
        <w:t>Autonomous clinical actions</w:t>
      </w:r>
    </w:p>
    <w:p>
      <w:pPr>
        <w:pStyle w:val="ListBullet"/>
      </w:pPr>
      <w:r>
        <w:t>Kafka-based event streaming</w:t>
      </w:r>
    </w:p>
    <w:p>
      <w:pPr>
        <w:pStyle w:val="ListBullet"/>
      </w:pPr>
      <w:r>
        <w:t>Mandatory external message broker</w:t>
      </w:r>
    </w:p>
    <w:p>
      <w:pPr>
        <w:pStyle w:val="ListBullet"/>
      </w:pPr>
      <w:r>
        <w:t>Full microservice decomposition</w:t>
      </w:r>
    </w:p>
    <w:p>
      <w:pPr>
        <w:pStyle w:val="ListBullet"/>
      </w:pPr>
      <w:r>
        <w:t>Advanced ML infrastructure</w:t>
      </w:r>
    </w:p>
    <w:p>
      <w:pPr>
        <w:pStyle w:val="ListBullet"/>
      </w:pPr>
      <w:r>
        <w:t>Complex offline clinical write synchronization</w:t>
      </w:r>
    </w:p>
    <w:p>
      <w:pPr>
        <w:pStyle w:val="ListBullet"/>
      </w:pPr>
      <w:r>
        <w:t>Large-scale data warehouse implementation</w:t>
      </w:r>
    </w:p>
    <w:p>
      <w:pPr>
        <w:pStyle w:val="Heading1"/>
      </w:pPr>
      <w:r>
        <w:t>6. Business Workflow Principle</w:t>
      </w:r>
    </w:p>
    <w:p>
      <w:r>
        <w:t>Every major feature must be specified as a workflow: Trigger → Actor → Preconditions → Input → Business Rules → Data Captured → Calculated Values → State Changes → Related Records → Notifications → Documents → Billing Impact → Follow-up → Audit → Permissions → Exceptions.</w:t>
      </w:r>
    </w:p>
    <w:p>
      <w:pPr>
        <w:pStyle w:val="Heading1"/>
      </w:pPr>
      <w:r>
        <w:t>7. End-to-End Patient Journey</w:t>
      </w:r>
    </w:p>
    <w:p>
      <w:r>
        <w:rPr>
          <w:rFonts w:ascii="Consolas" w:hAnsi="Consolas"/>
          <w:sz w:val="16"/>
        </w:rPr>
        <w:t>Client → Animal → Appointment/Walk-in → Check-in → Encounter → Assessment → Diagnosis → Treatment → Prescription/Diagnostics/Procedure/Surgery → Charges → Invoice → Payment → Discharge → Follow-up → Future Visit</w:t>
      </w:r>
    </w:p>
    <w:p>
      <w:pPr>
        <w:pStyle w:val="Heading1"/>
      </w:pPr>
      <w:r>
        <w:t>8. Core Business Rules</w:t>
      </w:r>
    </w:p>
    <w:p>
      <w:pPr>
        <w:pStyle w:val="ListBullet"/>
      </w:pPr>
      <w:r>
        <w:t>Client must be searched before a new client is created to reduce duplicates.</w:t>
      </w:r>
    </w:p>
    <w:p>
      <w:pPr>
        <w:pStyle w:val="ListBullet"/>
      </w:pPr>
      <w:r>
        <w:t>One client can own multiple animals.</w:t>
      </w:r>
    </w:p>
    <w:p>
      <w:pPr>
        <w:pStyle w:val="ListBullet"/>
      </w:pPr>
      <w:r>
        <w:t>Animal clinical history must not be physically deleted after clinical activity exists.</w:t>
      </w:r>
    </w:p>
    <w:p>
      <w:pPr>
        <w:pStyle w:val="ListBullet"/>
      </w:pPr>
      <w:r>
        <w:t>Clinical records become immutable after finalization except through controlled correction/versioning.</w:t>
      </w:r>
    </w:p>
    <w:p>
      <w:pPr>
        <w:pStyle w:val="ListBullet"/>
      </w:pPr>
      <w:r>
        <w:t>Final diagnosis must identify the responsible veterinarian.</w:t>
      </w:r>
    </w:p>
    <w:p>
      <w:pPr>
        <w:pStyle w:val="ListBullet"/>
      </w:pPr>
      <w:r>
        <w:t>Prescriptions identify the prescribing veterinarian and their clinical context.</w:t>
      </w:r>
    </w:p>
    <w:p>
      <w:pPr>
        <w:pStyle w:val="ListBullet"/>
      </w:pPr>
      <w:r>
        <w:t>Diagnostic results and review changes are audited.</w:t>
      </w:r>
    </w:p>
    <w:p>
      <w:pPr>
        <w:pStyle w:val="ListBullet"/>
      </w:pPr>
      <w:r>
        <w:t>Expired medication cannot be dispensed.</w:t>
      </w:r>
    </w:p>
    <w:p>
      <w:pPr>
        <w:pStyle w:val="ListBullet"/>
      </w:pPr>
      <w:r>
        <w:t>Inventory movements are auditable and traceable to source transactions.</w:t>
      </w:r>
    </w:p>
    <w:p>
      <w:pPr>
        <w:pStyle w:val="ListBullet"/>
      </w:pPr>
      <w:r>
        <w:t>Paid invoices cannot be silently modified; corrections use controlled adjustments/refunds.</w:t>
      </w:r>
    </w:p>
    <w:p>
      <w:pPr>
        <w:pStyle w:val="ListBullet"/>
      </w:pPr>
      <w:r>
        <w:t>All access is tenant-scoped; branch-scoped permissions apply where configured.</w:t>
      </w:r>
    </w:p>
    <w:p>
      <w:pPr>
        <w:pStyle w:val="ListBullet"/>
      </w:pPr>
      <w:r>
        <w:t>Backend authorization is authoritative; frontend checks are convenience only.</w:t>
      </w:r>
    </w:p>
    <w:p>
      <w:pPr>
        <w:pStyle w:val="ListBullet"/>
      </w:pPr>
      <w:r>
        <w:t>Pet owners can access only explicitly shareable records belonging to their authorized animals.</w:t>
      </w:r>
    </w:p>
    <w:p>
      <w:pPr>
        <w:pStyle w:val="ListBullet"/>
      </w:pPr>
      <w:r>
        <w:t>Vaccination validity, next due date and recommended follow-up date are separate concepts.</w:t>
      </w:r>
    </w:p>
    <w:p>
      <w:pPr>
        <w:pStyle w:val="ListBullet"/>
      </w:pPr>
      <w:r>
        <w:t>Printed/PDF clinical documents represent finalized records and are versioned when corrected.</w:t>
      </w:r>
    </w:p>
    <w:p>
      <w:pPr>
        <w:pStyle w:val="Heading1"/>
      </w:pPr>
      <w:r>
        <w:t>9. Non-Functional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Production service designed for resilient deployment; exact SLA set per commercial plan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OIDC/OAuth2, tenant isolation, least privilege, audit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Common operational screens should feel interactive; APIs must be measurable and optimized by workflow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Database-per-tenant enables tenant-level scaling and isolation</w:t>
            </w:r>
          </w:p>
        </w:tc>
      </w:tr>
      <w:tr>
        <w:tc>
          <w:tcPr>
            <w:tcW w:type="dxa" w:w="5040"/>
          </w:tcPr>
          <w:p>
            <w:r>
              <w:t>Usability</w:t>
            </w:r>
          </w:p>
        </w:tc>
        <w:tc>
          <w:tcPr>
            <w:tcW w:type="dxa" w:w="5040"/>
          </w:tcPr>
          <w:p>
            <w:r>
              <w:t>Responsive PWA; staff information-dense, portal simpler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Security, clinical, financial and inventory actions auditable</w:t>
            </w:r>
          </w:p>
        </w:tc>
      </w:tr>
      <w:tr>
        <w:tc>
          <w:tcPr>
            <w:tcW w:type="dxa" w:w="5040"/>
          </w:tcPr>
          <w:p>
            <w:r>
              <w:t>Portability</w:t>
            </w:r>
          </w:p>
        </w:tc>
        <w:tc>
          <w:tcPr>
            <w:tcW w:type="dxa" w:w="5040"/>
          </w:tcPr>
          <w:p>
            <w:r>
              <w:t>Open-source-first and cloud-portable</w:t>
            </w:r>
          </w:p>
        </w:tc>
      </w:tr>
      <w:tr>
        <w:tc>
          <w:tcPr>
            <w:tcW w:type="dxa" w:w="5040"/>
          </w:tcPr>
          <w:p>
            <w:r>
              <w:t>Printability</w:t>
            </w:r>
          </w:p>
        </w:tc>
        <w:tc>
          <w:tcPr>
            <w:tcW w:type="dxa" w:w="5040"/>
          </w:tcPr>
          <w:p>
            <w:r>
              <w:t>Important records printable and downloadable as PDF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OpenTelemetry, metrics, structured logs, traces</w:t>
            </w:r>
          </w:p>
        </w:tc>
      </w:tr>
    </w:tbl>
    <w:p>
      <w:pPr>
        <w:pStyle w:val="Heading1"/>
      </w:pPr>
      <w:r>
        <w:t>10. Success Criteria</w:t>
      </w:r>
    </w:p>
    <w:p>
      <w:pPr>
        <w:pStyle w:val="ListBullet"/>
      </w:pPr>
      <w:r>
        <w:t>A clinic can be provisioned without engineering intervention.</w:t>
      </w:r>
    </w:p>
    <w:p>
      <w:pPr>
        <w:pStyle w:val="ListBullet"/>
      </w:pPr>
      <w:r>
        <w:t>A receptionist can take a client from booking/check-in to encounter.</w:t>
      </w:r>
    </w:p>
    <w:p>
      <w:pPr>
        <w:pStyle w:val="ListBullet"/>
      </w:pPr>
      <w:r>
        <w:t>A veterinarian can complete a clinical encounter and produce prescription/follow-up.</w:t>
      </w:r>
    </w:p>
    <w:p>
      <w:pPr>
        <w:pStyle w:val="ListBullet"/>
      </w:pPr>
      <w:r>
        <w:t>A vaccination can create validity/due/follow-up data and a certificate.</w:t>
      </w:r>
    </w:p>
    <w:p>
      <w:pPr>
        <w:pStyle w:val="ListBullet"/>
      </w:pPr>
      <w:r>
        <w:t>Diagnostics can move from order to sample to result to veterinarian review.</w:t>
      </w:r>
    </w:p>
    <w:p>
      <w:pPr>
        <w:pStyle w:val="ListBullet"/>
      </w:pPr>
      <w:r>
        <w:t>Dispensing affects inventory and remains auditable.</w:t>
      </w:r>
    </w:p>
    <w:p>
      <w:pPr>
        <w:pStyle w:val="ListBullet"/>
      </w:pPr>
      <w:r>
        <w:t>Billing reflects services/charges and payment state.</w:t>
      </w:r>
    </w:p>
    <w:p>
      <w:pPr>
        <w:pStyle w:val="ListBullet"/>
      </w:pPr>
      <w:r>
        <w:t>Pet owners can securely access permitted information.</w:t>
      </w:r>
    </w:p>
    <w:p>
      <w:pPr>
        <w:pStyle w:val="ListBullet"/>
      </w:pPr>
      <w:r>
        <w:t>Every major clinical/financial document can be generated as a PDF.</w:t>
      </w:r>
    </w:p>
    <w:p>
      <w:pPr>
        <w:pStyle w:val="ListBullet"/>
      </w:pPr>
      <w:r>
        <w:t>No tenant can access another tenant's business data.</w:t>
      </w:r>
    </w:p>
    <w:p>
      <w:pPr>
        <w:pStyle w:val="Heading1"/>
      </w:pPr>
      <w:r>
        <w:t>11.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</w:tcPr>
          <w:p>
            <w:r>
              <w:t>Tenant data leakage</w:t>
            </w:r>
          </w:p>
        </w:tc>
        <w:tc>
          <w:tcPr>
            <w:tcW w:type="dxa" w:w="5040"/>
          </w:tcPr>
          <w:p>
            <w:r>
              <w:t>Central tenant resolution, DB-per-tenant, authorization tests, no client-supplied trust</w:t>
            </w:r>
          </w:p>
        </w:tc>
      </w:tr>
      <w:tr>
        <w:tc>
          <w:tcPr>
            <w:tcW w:type="dxa" w:w="5040"/>
          </w:tcPr>
          <w:p>
            <w:r>
              <w:t>Over-engineering</w:t>
            </w:r>
          </w:p>
        </w:tc>
        <w:tc>
          <w:tcPr>
            <w:tcW w:type="dxa" w:w="5040"/>
          </w:tcPr>
          <w:p>
            <w:r>
              <w:t>Modular monolith; no mandatory broker/Kafka in V1</w:t>
            </w:r>
          </w:p>
        </w:tc>
      </w:tr>
      <w:tr>
        <w:tc>
          <w:tcPr>
            <w:tcW w:type="dxa" w:w="5040"/>
          </w:tcPr>
          <w:p>
            <w:r>
              <w:t>Over-DRY abstraction</w:t>
            </w:r>
          </w:p>
        </w:tc>
        <w:tc>
          <w:tcPr>
            <w:tcW w:type="dxa" w:w="5040"/>
          </w:tcPr>
          <w:p>
            <w:r>
              <w:t>Share stable infrastructure only; keep business workflows independently modeled</w:t>
            </w:r>
          </w:p>
        </w:tc>
      </w:tr>
      <w:tr>
        <w:tc>
          <w:tcPr>
            <w:tcW w:type="dxa" w:w="5040"/>
          </w:tcPr>
          <w:p>
            <w:r>
              <w:t>Clinical record corruption</w:t>
            </w:r>
          </w:p>
        </w:tc>
        <w:tc>
          <w:tcPr>
            <w:tcW w:type="dxa" w:w="5040"/>
          </w:tcPr>
          <w:p>
            <w:r>
              <w:t>Finalization, controlled corrections, audit/versioning</w:t>
            </w:r>
          </w:p>
        </w:tc>
      </w:tr>
      <w:tr>
        <w:tc>
          <w:tcPr>
            <w:tcW w:type="dxa" w:w="5040"/>
          </w:tcPr>
          <w:p>
            <w:r>
              <w:t>Reference-data duplication</w:t>
            </w:r>
          </w:p>
        </w:tc>
        <w:tc>
          <w:tcPr>
            <w:tcW w:type="dxa" w:w="5040"/>
          </w:tcPr>
          <w:p>
            <w:r>
              <w:t>Central Platform DB metadata + tenant overrides</w:t>
            </w:r>
          </w:p>
        </w:tc>
      </w:tr>
      <w:tr>
        <w:tc>
          <w:tcPr>
            <w:tcW w:type="dxa" w:w="5040"/>
          </w:tcPr>
          <w:p>
            <w:r>
              <w:t>Document coupling</w:t>
            </w:r>
          </w:p>
        </w:tc>
        <w:tc>
          <w:tcPr>
            <w:tcW w:type="dxa" w:w="5040"/>
          </w:tcPr>
          <w:p>
            <w:r>
              <w:t>Independent business-specific document composition with shared PDF infrastructure</w:t>
            </w:r>
          </w:p>
        </w:tc>
      </w:tr>
      <w:tr>
        <w:tc>
          <w:tcPr>
            <w:tcW w:type="dxa" w:w="5040"/>
          </w:tcPr>
          <w:p>
            <w:r>
              <w:t>Identity complexity</w:t>
            </w:r>
          </w:p>
        </w:tc>
        <w:tc>
          <w:tcPr>
            <w:tcW w:type="dxa" w:w="5040"/>
          </w:tcPr>
          <w:p>
            <w:r>
              <w:t>Keycloak for authentication; VetFlow owns application authorization</w:t>
            </w:r>
          </w:p>
        </w:tc>
      </w:tr>
      <w:tr>
        <w:tc>
          <w:tcPr>
            <w:tcW w:type="dxa" w:w="5040"/>
          </w:tcPr>
          <w:p>
            <w:r>
              <w:t>Future AI disruption</w:t>
            </w:r>
          </w:p>
        </w:tc>
        <w:tc>
          <w:tcPr>
            <w:tcW w:type="dxa" w:w="5040"/>
          </w:tcPr>
          <w:p>
            <w:r>
              <w:t>Capture structured data, events and documents cleanly without AI in transactional path</w:t>
            </w:r>
          </w:p>
        </w:tc>
      </w:tr>
    </w:tbl>
    <w:p>
      <w:pPr>
        <w:pStyle w:val="Heading1"/>
      </w:pPr>
      <w:r>
        <w:t>12. Business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Tenant</w:t>
            </w:r>
          </w:p>
        </w:tc>
        <w:tc>
          <w:tcPr>
            <w:tcW w:type="dxa" w:w="5040"/>
          </w:tcPr>
          <w:p>
            <w:r>
              <w:t>A customer organization/practice group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Physical/operational location within a tenant</w:t>
            </w:r>
          </w:p>
        </w:tc>
      </w:tr>
      <w:tr>
        <w:tc>
          <w:tcPr>
            <w:tcW w:type="dxa" w:w="5040"/>
          </w:tcPr>
          <w:p>
            <w:r>
              <w:t>Client</w:t>
            </w:r>
          </w:p>
        </w:tc>
        <w:tc>
          <w:tcPr>
            <w:tcW w:type="dxa" w:w="5040"/>
          </w:tcPr>
          <w:p>
            <w:r>
              <w:t>Pet owner/responsible party</w:t>
            </w:r>
          </w:p>
        </w:tc>
      </w:tr>
      <w:tr>
        <w:tc>
          <w:tcPr>
            <w:tcW w:type="dxa" w:w="5040"/>
          </w:tcPr>
          <w:p>
            <w:r>
              <w:t>Animal</w:t>
            </w:r>
          </w:p>
        </w:tc>
        <w:tc>
          <w:tcPr>
            <w:tcW w:type="dxa" w:w="5040"/>
          </w:tcPr>
          <w:p>
            <w:r>
              <w:t>Veterinary patient</w:t>
            </w:r>
          </w:p>
        </w:tc>
      </w:tr>
      <w:tr>
        <w:tc>
          <w:tcPr>
            <w:tcW w:type="dxa" w:w="5040"/>
          </w:tcPr>
          <w:p>
            <w:r>
              <w:t>Encounter</w:t>
            </w:r>
          </w:p>
        </w:tc>
        <w:tc>
          <w:tcPr>
            <w:tcW w:type="dxa" w:w="5040"/>
          </w:tcPr>
          <w:p>
            <w:r>
              <w:t>Clinical interaction containing assessment and treatment</w:t>
            </w:r>
          </w:p>
        </w:tc>
      </w:tr>
      <w:tr>
        <w:tc>
          <w:tcPr>
            <w:tcW w:type="dxa" w:w="5040"/>
          </w:tcPr>
          <w:p>
            <w:r>
              <w:t>Platform DB</w:t>
            </w:r>
          </w:p>
        </w:tc>
        <w:tc>
          <w:tcPr>
            <w:tcW w:type="dxa" w:w="5040"/>
          </w:tcPr>
          <w:p>
            <w:r>
              <w:t>Central control-plane database</w:t>
            </w:r>
          </w:p>
        </w:tc>
      </w:tr>
      <w:tr>
        <w:tc>
          <w:tcPr>
            <w:tcW w:type="dxa" w:w="5040"/>
          </w:tcPr>
          <w:p>
            <w:r>
              <w:t>Tenant DB</w:t>
            </w:r>
          </w:p>
        </w:tc>
        <w:tc>
          <w:tcPr>
            <w:tcW w:type="dxa" w:w="5040"/>
          </w:tcPr>
          <w:p>
            <w:r>
              <w:t>Dedicated operational database for one tenant</w:t>
            </w:r>
          </w:p>
        </w:tc>
      </w:tr>
      <w:tr>
        <w:tc>
          <w:tcPr>
            <w:tcW w:type="dxa" w:w="5040"/>
          </w:tcPr>
          <w:p>
            <w:r>
              <w:t>Finalized</w:t>
            </w:r>
          </w:p>
        </w:tc>
        <w:tc>
          <w:tcPr>
            <w:tcW w:type="dxa" w:w="5040"/>
          </w:tcPr>
          <w:p>
            <w:r>
              <w:t>Record has been clinically/operationally confirmed and requires controlled correction</w:t>
            </w:r>
          </w:p>
        </w:tc>
      </w:tr>
      <w:tr>
        <w:tc>
          <w:tcPr>
            <w:tcW w:type="dxa" w:w="5040"/>
          </w:tcPr>
          <w:p>
            <w:r>
              <w:t>Outbox</w:t>
            </w:r>
          </w:p>
        </w:tc>
        <w:tc>
          <w:tcPr>
            <w:tcW w:type="dxa" w:w="5040"/>
          </w:tcPr>
          <w:p>
            <w:r>
              <w:t>Durable record of an event to be processed asynchronously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