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VetFlow — Database &amp; Domain Design v1.0</w:t>
      </w:r>
    </w:p>
    <w:p>
      <w:pPr>
        <w:jc w:val="center"/>
      </w:pPr>
      <w:r>
        <w:rPr>
          <w:i/>
        </w:rPr>
        <w:t>VetFlow | Final Specification | Version 1.0</w:t>
      </w:r>
    </w:p>
    <w:p>
      <w:pPr>
        <w:jc w:val="center"/>
      </w:pPr>
      <w:r>
        <w:rPr>
          <w:b/>
        </w:rPr>
        <w:t>Open-source-first Veterinary Practice Management SaaS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Document status</w:t>
            </w:r>
          </w:p>
        </w:tc>
        <w:tc>
          <w:tcPr>
            <w:tcW w:type="dxa" w:w="5040"/>
          </w:tcPr>
          <w:p>
            <w:r>
              <w:rPr>
                <w:b/>
              </w:rPr>
              <w:t>Baseline / implementation-ready</w:t>
            </w:r>
          </w:p>
        </w:tc>
      </w:tr>
      <w:tr>
        <w:tc>
          <w:tcPr>
            <w:tcW w:type="dxa" w:w="5040"/>
          </w:tcPr>
          <w:p>
            <w:r>
              <w:t>Version</w:t>
            </w:r>
          </w:p>
        </w:tc>
        <w:tc>
          <w:tcPr>
            <w:tcW w:type="dxa" w:w="5040"/>
          </w:tcPr>
          <w:p>
            <w:r>
              <w:t>1.0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VetFlow</w:t>
            </w:r>
          </w:p>
        </w:tc>
      </w:tr>
      <w:tr>
        <w:tc>
          <w:tcPr>
            <w:tcW w:type="dxa" w:w="5040"/>
          </w:tcPr>
          <w:p>
            <w:r>
              <w:t>Architecture</w:t>
            </w:r>
          </w:p>
        </w:tc>
        <w:tc>
          <w:tcPr>
            <w:tcW w:type="dxa" w:w="5040"/>
          </w:tcPr>
          <w:p>
            <w:r>
              <w:t>Multi-tenant SaaS • Database-per-tenant • Modular Monolith</w:t>
            </w:r>
          </w:p>
        </w:tc>
      </w:tr>
      <w:tr>
        <w:tc>
          <w:tcPr>
            <w:tcW w:type="dxa" w:w="5040"/>
          </w:tcPr>
          <w:p>
            <w:r>
              <w:t>Primary stack</w:t>
            </w:r>
          </w:p>
        </w:tc>
        <w:tc>
          <w:tcPr>
            <w:tcW w:type="dxa" w:w="5040"/>
          </w:tcPr>
          <w:p>
            <w:r>
              <w:t>Angular PWA • ASP.NET Core/.NET 10 • PostgreSQL • Keycloak</w:t>
            </w:r>
          </w:p>
        </w:tc>
      </w:tr>
      <w:tr>
        <w:tc>
          <w:tcPr>
            <w:tcW w:type="dxa" w:w="5040"/>
          </w:tcPr>
          <w:p>
            <w:r>
              <w:t>Principle</w:t>
            </w:r>
          </w:p>
        </w:tc>
        <w:tc>
          <w:tcPr>
            <w:tcW w:type="dxa" w:w="5040"/>
          </w:tcPr>
          <w:p>
            <w:r>
              <w:t>Business-workflow-first; open-source-first; avoid premature abstraction</w:t>
            </w:r>
          </w:p>
        </w:tc>
      </w:tr>
    </w:tbl>
    <w:p>
      <w:r>
        <w:br w:type="page"/>
      </w:r>
    </w:p>
    <w:p>
      <w:pPr>
        <w:pStyle w:val="Heading1"/>
      </w:pPr>
      <w:r>
        <w:t>1. Database Strategy</w:t>
      </w:r>
    </w:p>
    <w:p>
      <w:r>
        <w:t>Two database planes are mandatory: a central Platform DB and one PostgreSQL database per tenant. Global metadata is centralized. Tenant transactions remain local to the tenant DB.</w:t>
      </w:r>
    </w:p>
    <w:p>
      <w:pPr>
        <w:pStyle w:val="Heading1"/>
      </w:pPr>
      <w:r>
        <w:t>2. Platform DB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040"/>
          </w:tcPr>
          <w:p>
            <w:r>
              <w:t>Tenant</w:t>
            </w:r>
          </w:p>
        </w:tc>
        <w:tc>
          <w:tcPr>
            <w:tcW w:type="dxa" w:w="5040"/>
          </w:tcPr>
          <w:p>
            <w:r>
              <w:t>Organization/customer lifecycle</w:t>
            </w:r>
          </w:p>
        </w:tc>
      </w:tr>
      <w:tr>
        <w:tc>
          <w:tcPr>
            <w:tcW w:type="dxa" w:w="5040"/>
          </w:tcPr>
          <w:p>
            <w:r>
              <w:t>Subscription</w:t>
            </w:r>
          </w:p>
        </w:tc>
        <w:tc>
          <w:tcPr>
            <w:tcW w:type="dxa" w:w="5040"/>
          </w:tcPr>
          <w:p>
            <w:r>
              <w:t>Tenant subscription status</w:t>
            </w:r>
          </w:p>
        </w:tc>
      </w:tr>
      <w:tr>
        <w:tc>
          <w:tcPr>
            <w:tcW w:type="dxa" w:w="5040"/>
          </w:tcPr>
          <w:p>
            <w:r>
              <w:t>Plan</w:t>
            </w:r>
          </w:p>
        </w:tc>
        <w:tc>
          <w:tcPr>
            <w:tcW w:type="dxa" w:w="5040"/>
          </w:tcPr>
          <w:p>
            <w:r>
              <w:t>Commercial plan definition</w:t>
            </w:r>
          </w:p>
        </w:tc>
      </w:tr>
      <w:tr>
        <w:tc>
          <w:tcPr>
            <w:tcW w:type="dxa" w:w="5040"/>
          </w:tcPr>
          <w:p>
            <w:r>
              <w:t>TenantDatabase</w:t>
            </w:r>
          </w:p>
        </w:tc>
        <w:tc>
          <w:tcPr>
            <w:tcW w:type="dxa" w:w="5040"/>
          </w:tcPr>
          <w:p>
            <w:r>
              <w:t>Secure mapping to tenant DB</w:t>
            </w:r>
          </w:p>
        </w:tc>
      </w:tr>
      <w:tr>
        <w:tc>
          <w:tcPr>
            <w:tcW w:type="dxa" w:w="5040"/>
          </w:tcPr>
          <w:p>
            <w:r>
              <w:t>PlatformUser</w:t>
            </w:r>
          </w:p>
        </w:tc>
        <w:tc>
          <w:tcPr>
            <w:tcW w:type="dxa" w:w="5040"/>
          </w:tcPr>
          <w:p>
            <w:r>
              <w:t>Platform administrator identity mapping</w:t>
            </w:r>
          </w:p>
        </w:tc>
      </w:tr>
      <w:tr>
        <w:tc>
          <w:tcPr>
            <w:tcW w:type="dxa" w:w="5040"/>
          </w:tcPr>
          <w:p>
            <w:r>
              <w:t>Feature</w:t>
            </w:r>
          </w:p>
        </w:tc>
        <w:tc>
          <w:tcPr>
            <w:tcW w:type="dxa" w:w="5040"/>
          </w:tcPr>
          <w:p>
            <w:r>
              <w:t>Feature definitions</w:t>
            </w:r>
          </w:p>
        </w:tc>
      </w:tr>
      <w:tr>
        <w:tc>
          <w:tcPr>
            <w:tcW w:type="dxa" w:w="5040"/>
          </w:tcPr>
          <w:p>
            <w:r>
              <w:t>TenantFeature</w:t>
            </w:r>
          </w:p>
        </w:tc>
        <w:tc>
          <w:tcPr>
            <w:tcW w:type="dxa" w:w="5040"/>
          </w:tcPr>
          <w:p>
            <w:r>
              <w:t>Tenant feature enablement</w:t>
            </w:r>
          </w:p>
        </w:tc>
      </w:tr>
      <w:tr>
        <w:tc>
          <w:tcPr>
            <w:tcW w:type="dxa" w:w="5040"/>
          </w:tcPr>
          <w:p>
            <w:r>
              <w:t>GlobalReference*</w:t>
            </w:r>
          </w:p>
        </w:tc>
        <w:tc>
          <w:tcPr>
            <w:tcW w:type="dxa" w:w="5040"/>
          </w:tcPr>
          <w:p>
            <w:r>
              <w:t>Centralized global/reference metadata</w:t>
            </w:r>
          </w:p>
        </w:tc>
      </w:tr>
      <w:tr>
        <w:tc>
          <w:tcPr>
            <w:tcW w:type="dxa" w:w="5040"/>
          </w:tcPr>
          <w:p>
            <w:r>
              <w:t>PlatformAudit</w:t>
            </w:r>
          </w:p>
        </w:tc>
        <w:tc>
          <w:tcPr>
            <w:tcW w:type="dxa" w:w="5040"/>
          </w:tcPr>
          <w:p>
            <w:r>
              <w:t>Control-plane audit</w:t>
            </w:r>
          </w:p>
        </w:tc>
      </w:tr>
    </w:tbl>
    <w:p>
      <w:pPr>
        <w:pStyle w:val="Heading1"/>
      </w:pPr>
      <w:r>
        <w:t>3. Tenant DB Entities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Branch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User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Permission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UserRole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RolePermission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UserBranch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PracticeSetting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Client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ClientContact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ClientAddress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ClientCommunicationPreference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ClientPortalAccount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ClientPortalPetAccess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Animal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AnimalIdentification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AnimalMedicalProfile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AnimalOwner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Appointment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PatientVisit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Encounter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Diagnosis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Treatment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Prescription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PrescriptionItem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DiagnosticOrder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DiagnosticOrderItem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Sample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DiagnosticResult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DiagnosticReport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Vaccination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Procedure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Surgery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Consent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PreOpAssessment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AnesthesiaRecord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Recovery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HospitalAdmission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FollowUp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Service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Charge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Estimate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Invoice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InvoiceItem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Refund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ProductBatch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InventoryTransaction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PurchaseOrder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Supplier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Dispensing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Domain entities</w:t>
            </w:r>
          </w:p>
        </w:tc>
        <w:tc>
          <w:tcPr>
            <w:tcW w:type="dxa" w:w="5040"/>
          </w:tcPr>
          <w:p>
            <w:r>
              <w:rPr>
                <w:b/>
              </w:rPr>
            </w:r>
          </w:p>
        </w:tc>
      </w:tr>
      <w:tr>
        <w:tc>
          <w:tcPr>
            <w:tcW w:type="dxa" w:w="5040"/>
          </w:tcPr>
          <w:p>
            <w:r>
              <w:t>DispensingItem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PatientDocument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  <w:tr>
        <w:tc>
          <w:tcPr>
            <w:tcW w:type="dxa" w:w="5040"/>
          </w:tcPr>
          <w:p>
            <w:r>
              <w:t>OutboxMessage</w:t>
            </w:r>
          </w:p>
        </w:tc>
        <w:tc>
          <w:tcPr>
            <w:tcW w:type="dxa" w:w="5040"/>
          </w:tcPr>
          <w:p>
            <w:r>
              <w:t>Tenant-owned operational data</w:t>
            </w:r>
          </w:p>
        </w:tc>
      </w:tr>
    </w:tbl>
    <w:p>
      <w:pPr>
        <w:pStyle w:val="Heading1"/>
      </w:pPr>
      <w:r>
        <w:t>4. Key Relationships</w:t>
      </w:r>
    </w:p>
    <w:p>
      <w:r>
        <w:rPr>
          <w:rFonts w:ascii="Consolas" w:hAnsi="Consolas"/>
          <w:sz w:val="16"/>
        </w:rPr>
        <w:t>Client 1 ── * Animal</w:t>
        <w:br/>
        <w:t>Animal 1 ── * Appointment</w:t>
        <w:br/>
        <w:t>Animal 1 ── * Encounter</w:t>
        <w:br/>
        <w:t>Encounter 1 ── * Diagnosis</w:t>
        <w:br/>
        <w:t>Encounter 1 ── * Treatment</w:t>
        <w:br/>
        <w:t>Encounter 1 ── * Prescription</w:t>
        <w:br/>
        <w:t>Animal 1 ── * DiagnosticOrder</w:t>
        <w:br/>
        <w:t>Animal 1 ── * Vaccination</w:t>
        <w:br/>
        <w:t>Animal 1 ── * Procedure/Surgery</w:t>
        <w:br/>
        <w:t>Animal 1 ── * HospitalAdmission</w:t>
        <w:br/>
        <w:t>Animal 1 ── * FollowUp</w:t>
        <w:br/>
        <w:t>Estimate 1 ── * Charge</w:t>
        <w:br/>
        <w:t>Invoice 1 ── * InvoiceItem</w:t>
        <w:br/>
        <w:t>Invoice 1 ── * Payment</w:t>
        <w:br/>
        <w:t>Product 1 ── * ProductBatch</w:t>
        <w:br/>
        <w:t>ProductBatch 1 ── * InventoryTransaction</w:t>
        <w:br/>
        <w:t>Prescription 1 ── * Dispensing</w:t>
      </w:r>
    </w:p>
    <w:p>
      <w:pPr>
        <w:pStyle w:val="Heading1"/>
      </w:pPr>
      <w:r>
        <w:t>5. Metadata Strategy</w:t>
      </w:r>
    </w:p>
    <w:p>
      <w:pPr>
        <w:pStyle w:val="ListBullet"/>
      </w:pPr>
      <w:r>
        <w:t>Global immutable/reference: species, breeds, countries, currencies, time zones, languages, units, system permissions.</w:t>
      </w:r>
    </w:p>
    <w:p>
      <w:pPr>
        <w:pStyle w:val="ListBullet"/>
      </w:pPr>
      <w:r>
        <w:t>Global configurable catalog with tenant overrides: services, appointment types, vaccinations, procedures, notification templates, etc.</w:t>
      </w:r>
    </w:p>
    <w:p>
      <w:pPr>
        <w:pStyle w:val="ListBullet"/>
      </w:pPr>
      <w:r>
        <w:t>Tenant-owned business data: clients, animals, appointments, encounters, prescriptions, invoices, payments, inventory.</w:t>
      </w:r>
    </w:p>
    <w:p>
      <w:pPr>
        <w:pStyle w:val="ListBullet"/>
      </w:pPr>
      <w:r>
        <w:t>No cross-database FKs.</w:t>
      </w:r>
    </w:p>
    <w:p>
      <w:pPr>
        <w:pStyle w:val="ListBullet"/>
      </w:pPr>
      <w:r>
        <w:t>Use IDs plus application-level metadata resolution/cache.</w:t>
      </w:r>
    </w:p>
    <w:p>
      <w:pPr>
        <w:pStyle w:val="Heading1"/>
      </w:pPr>
      <w:r>
        <w:t>6. Seed Strategy</w:t>
      </w:r>
    </w:p>
    <w:p>
      <w:r>
        <w:rPr>
          <w:rFonts w:ascii="Consolas" w:hAnsi="Consolas"/>
          <w:sz w:val="16"/>
        </w:rPr>
        <w:t>seed/</w:t>
        <w:br/>
        <w:t>├── species.json</w:t>
        <w:br/>
        <w:t>├── breeds.json</w:t>
        <w:br/>
        <w:t>├── diagnoses.json</w:t>
        <w:br/>
        <w:t>├── vaccinations.json</w:t>
        <w:br/>
        <w:t>├── procedures.json</w:t>
        <w:br/>
        <w:t>├── units.json</w:t>
        <w:br/>
        <w:t>├── countries.json</w:t>
        <w:br/>
        <w:t>└── permissions.json</w:t>
      </w:r>
    </w:p>
    <w:p>
      <w:r>
        <w:t>Large reference datasets are versioned as deterministic seed packages rather than being embedded as enormous EF migrations. Demo data is synthetic and separate from production reference data.</w:t>
      </w:r>
    </w:p>
    <w:p>
      <w:pPr>
        <w:pStyle w:val="Heading1"/>
      </w:pPr>
      <w:r>
        <w:t>7. Data Integrity Rules</w:t>
      </w:r>
    </w:p>
    <w:p>
      <w:pPr>
        <w:pStyle w:val="ListBullet"/>
      </w:pPr>
      <w:r>
        <w:t>Clinical records with activity cannot be hard deleted.</w:t>
      </w:r>
    </w:p>
    <w:p>
      <w:pPr>
        <w:pStyle w:val="ListBullet"/>
      </w:pPr>
      <w:r>
        <w:t>Finalized records require controlled correction/versioning.</w:t>
      </w:r>
    </w:p>
    <w:p>
      <w:pPr>
        <w:pStyle w:val="ListBullet"/>
      </w:pPr>
      <w:r>
        <w:t>Every inventory movement has a reason/source reference.</w:t>
      </w:r>
    </w:p>
    <w:p>
      <w:pPr>
        <w:pStyle w:val="ListBullet"/>
      </w:pPr>
      <w:r>
        <w:t>Paid invoice modifications are controlled.</w:t>
      </w:r>
    </w:p>
    <w:p>
      <w:pPr>
        <w:pStyle w:val="ListBullet"/>
      </w:pPr>
      <w:r>
        <w:t>Outbox records are durable and idempotently processed.</w:t>
      </w:r>
    </w:p>
    <w:p>
      <w:pPr>
        <w:pStyle w:val="ListBullet"/>
      </w:pPr>
      <w:r>
        <w:t>All tenant-owned records contain tenant-local identity through their database context rather than relying on a browser tenant field.</w:t>
      </w:r>
    </w:p>
    <w:p>
      <w:pPr>
        <w:pStyle w:val="ListBullet"/>
      </w:pPr>
      <w:r>
        <w:t>Soft deletion is used selectively; it is not a universal substitute for domain lifecycle modeling.</w:t>
      </w:r>
    </w:p>
    <w:p>
      <w:pPr>
        <w:pStyle w:val="Heading1"/>
      </w:pPr>
      <w:r>
        <w:t>8. Indexing Guidance</w:t>
      </w:r>
    </w:p>
    <w:p>
      <w:pPr>
        <w:pStyle w:val="ListBullet"/>
      </w:pPr>
      <w:r>
        <w:t>Index appointment date/status/branch.</w:t>
      </w:r>
    </w:p>
    <w:p>
      <w:pPr>
        <w:pStyle w:val="ListBullet"/>
      </w:pPr>
      <w:r>
        <w:t>Index client normalized search fields.</w:t>
      </w:r>
    </w:p>
    <w:p>
      <w:pPr>
        <w:pStyle w:val="ListBullet"/>
      </w:pPr>
      <w:r>
        <w:t>Index animal microchip/name/client relationship.</w:t>
      </w:r>
    </w:p>
    <w:p>
      <w:pPr>
        <w:pStyle w:val="ListBullet"/>
      </w:pPr>
      <w:r>
        <w:t>Index encounter animal/date.</w:t>
      </w:r>
    </w:p>
    <w:p>
      <w:pPr>
        <w:pStyle w:val="ListBullet"/>
      </w:pPr>
      <w:r>
        <w:t>Index diagnostic order status and collection/result dates.</w:t>
      </w:r>
    </w:p>
    <w:p>
      <w:pPr>
        <w:pStyle w:val="ListBullet"/>
      </w:pPr>
      <w:r>
        <w:t>Index inventory product/batch/expiry.</w:t>
      </w:r>
    </w:p>
    <w:p>
      <w:pPr>
        <w:pStyle w:val="ListBullet"/>
      </w:pPr>
      <w:r>
        <w:t>Index invoice status/date/client.</w:t>
      </w:r>
    </w:p>
    <w:p>
      <w:pPr>
        <w:pStyle w:val="ListBullet"/>
      </w:pPr>
      <w:r>
        <w:t>Index outbox status/created time.</w:t>
      </w:r>
    </w:p>
    <w:p>
      <w:pPr>
        <w:pStyle w:val="ListBullet"/>
      </w:pPr>
      <w:r>
        <w:t>Use composite indexes based on real query patterns; avoid speculative indexes.</w:t>
      </w:r>
    </w:p>
    <w:p>
      <w:pPr>
        <w:pStyle w:val="Heading1"/>
      </w:pPr>
      <w:r>
        <w:t>9. Patient Timeline</w:t>
      </w:r>
    </w:p>
    <w:p>
      <w:r>
        <w:t>The timeline is a read-oriented projection/query model over encounters, diagnoses, prescriptions, diagnostics, vaccinations, procedures, surgeries, hospitalizations, documents and billing-related clinical events. It need not force all domains into one physical table.</w:t>
      </w:r>
    </w:p>
    <w:p>
      <w:pPr>
        <w:pStyle w:val="Heading1"/>
      </w:pPr>
      <w:r>
        <w:t>10. Audit Model</w:t>
      </w:r>
    </w:p>
    <w:p>
      <w:pPr>
        <w:pStyle w:val="ListBullet"/>
      </w:pPr>
      <w:r>
        <w:t>Who performed the action</w:t>
      </w:r>
    </w:p>
    <w:p>
      <w:pPr>
        <w:pStyle w:val="ListBullet"/>
      </w:pPr>
      <w:r>
        <w:t>When</w:t>
      </w:r>
    </w:p>
    <w:p>
      <w:pPr>
        <w:pStyle w:val="ListBullet"/>
      </w:pPr>
      <w:r>
        <w:t>Tenant/branch</w:t>
      </w:r>
    </w:p>
    <w:p>
      <w:pPr>
        <w:pStyle w:val="ListBullet"/>
      </w:pPr>
      <w:r>
        <w:t>Entity/type and ID</w:t>
      </w:r>
    </w:p>
    <w:p>
      <w:pPr>
        <w:pStyle w:val="ListBullet"/>
      </w:pPr>
      <w:r>
        <w:t>Action</w:t>
      </w:r>
    </w:p>
    <w:p>
      <w:pPr>
        <w:pStyle w:val="ListBullet"/>
      </w:pPr>
      <w:r>
        <w:t>Before/after or structured change summary where appropriate</w:t>
      </w:r>
    </w:p>
    <w:p>
      <w:pPr>
        <w:pStyle w:val="ListBullet"/>
      </w:pPr>
      <w:r>
        <w:t>Correlation ID</w:t>
      </w:r>
    </w:p>
    <w:p>
      <w:pPr>
        <w:pStyle w:val="ListBullet"/>
      </w:pPr>
      <w:r>
        <w:t>Reason/comment for controlled corrections</w:t>
      </w:r>
    </w:p>
    <w:p>
      <w:pPr>
        <w:pStyle w:val="ListBullet"/>
      </w:pPr>
      <w:r>
        <w:t>Source (UI/API/system)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Confidential Product &amp; Engineering Specification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