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VetFlow – DevWeave Database Provider &amp; Development Strategy</w:t>
      </w:r>
    </w:p>
    <w:p>
      <w:pPr>
        <w:jc w:val="center"/>
      </w:pPr>
      <w:r>
        <w:rPr>
          <w:i/>
          <w:sz w:val="20"/>
        </w:rPr>
        <w:t>Final Architecture Decision v1.0 | SQLite for local development, PostgreSQL as the canonical production provider</w:t>
      </w:r>
    </w:p>
    <w:p>
      <w:r>
        <w:rPr>
          <w:b/>
        </w:rPr>
        <w:t xml:space="preserve">Status: </w:t>
      </w:r>
      <w:r>
        <w:t>Approved baseline for VetFlow implementation through DevWeave + Google Antigravity.</w:t>
      </w:r>
    </w:p>
    <w:p>
      <w:pPr>
        <w:pStyle w:val="Heading1"/>
      </w:pPr>
      <w:r>
        <w:t>1. Executive Decision</w:t>
      </w:r>
    </w:p>
    <w:p>
      <w:r>
        <w:t>VetFlow will use EF Core Code First. SQLite will be supported as the default lightweight database provider for local developer machines. PostgreSQL remains the canonical database provider for CI, staging, and production. The domain and application layers must remain database-provider independent.</w:t>
      </w:r>
    </w:p>
    <w:p>
      <w:pPr>
        <w:pStyle w:val="Heading1"/>
      </w:pPr>
      <w:r>
        <w:t>2. Final Database Architecture</w:t>
      </w:r>
    </w:p>
    <w:p>
      <w:pPr>
        <w:ind w:left="504" w:right="288"/>
      </w:pPr>
      <w:r>
        <w:rPr>
          <w:rFonts w:ascii="Consolas" w:hAnsi="Consolas"/>
          <w:sz w:val="18"/>
        </w:rPr>
        <w:t>Business Requirements</w:t>
        <w:br/>
        <w:t xml:space="preserve">        ↓</w:t>
        <w:br/>
        <w:t>Business Workflows</w:t>
        <w:br/>
        <w:t xml:space="preserve">        ↓</w:t>
        <w:br/>
        <w:t>Domain Model</w:t>
        <w:br/>
        <w:t xml:space="preserve">        ↓</w:t>
        <w:br/>
        <w:t>EF Core Entity Model</w:t>
        <w:br/>
        <w:t xml:space="preserve">        ↓</w:t>
        <w:br/>
        <w:t>Explicit EF Core Configuration</w:t>
        <w:br/>
        <w:t xml:space="preserve">        ↓</w:t>
        <w:br/>
        <w:t>EF Core Migrations</w:t>
        <w:br/>
        <w:t xml:space="preserve">        ↓</w:t>
        <w:br/>
        <w:t>┌──────────────────────────────┐</w:t>
        <w:br/>
        <w:t>│ Local Developer Environment  │</w:t>
        <w:br/>
        <w:t>│ SQLite                       │</w:t>
        <w:br/>
        <w:t>└──────────────────────────────┘</w:t>
        <w:br/>
        <w:t xml:space="preserve">        ↓</w:t>
        <w:br/>
        <w:t>┌──────────────────────────────┐</w:t>
        <w:br/>
        <w:t>│ CI / Staging / Production    │</w:t>
        <w:br/>
        <w:t>│ PostgreSQL                   │</w:t>
        <w:br/>
        <w:t>└──────────────────────────────┘</w:t>
      </w:r>
    </w:p>
    <w:p>
      <w:pPr>
        <w:pStyle w:val="Heading1"/>
      </w:pPr>
      <w:r>
        <w:t>3. Database Strategy by Environment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Environment</w:t>
            </w:r>
          </w:p>
        </w:tc>
        <w:tc>
          <w:tcPr>
            <w:tcW w:type="dxa" w:w="2520"/>
            <w:vAlign w:val="center"/>
            <w:shd w:fill="D9EAF7"/>
          </w:tcPr>
          <w:p>
            <w:r/>
            <w:r>
              <w:rPr>
                <w:b/>
                <w:sz w:val="18"/>
              </w:rPr>
              <w:t>Provider</w:t>
            </w:r>
          </w:p>
        </w:tc>
        <w:tc>
          <w:tcPr>
            <w:tcW w:type="dxa" w:w="2520"/>
            <w:vAlign w:val="center"/>
            <w:shd w:fill="D9EAF7"/>
          </w:tcPr>
          <w:p>
            <w:r/>
            <w:r>
              <w:rPr>
                <w:b/>
                <w:sz w:val="18"/>
              </w:rPr>
              <w:t>Purpose</w:t>
            </w:r>
          </w:p>
        </w:tc>
        <w:tc>
          <w:tcPr>
            <w:tcW w:type="dxa" w:w="2520"/>
            <w:vAlign w:val="center"/>
            <w:shd w:fill="D9EAF7"/>
          </w:tcPr>
          <w:p>
            <w:r/>
            <w:r>
              <w:rPr>
                <w:b/>
                <w:sz w:val="18"/>
              </w:rPr>
              <w:t>Policy</w:t>
            </w:r>
          </w:p>
        </w:tc>
      </w:tr>
      <w:tr>
        <w:tc>
          <w:tcPr>
            <w:tcW w:type="dxa" w:w="2520"/>
            <w:vAlign w:val="center"/>
          </w:tcPr>
          <w:p>
            <w:r/>
            <w:r>
              <w:rPr>
                <w:b w:val="0"/>
                <w:sz w:val="18"/>
              </w:rPr>
              <w:t>Developer laptop</w:t>
            </w:r>
          </w:p>
        </w:tc>
        <w:tc>
          <w:tcPr>
            <w:tcW w:type="dxa" w:w="2520"/>
            <w:vAlign w:val="center"/>
          </w:tcPr>
          <w:p>
            <w:r/>
            <w:r>
              <w:rPr>
                <w:b w:val="0"/>
                <w:sz w:val="18"/>
              </w:rPr>
              <w:t>SQLite</w:t>
            </w:r>
          </w:p>
        </w:tc>
        <w:tc>
          <w:tcPr>
            <w:tcW w:type="dxa" w:w="2520"/>
            <w:vAlign w:val="center"/>
          </w:tcPr>
          <w:p>
            <w:r/>
            <w:r>
              <w:rPr>
                <w:b w:val="0"/>
                <w:sz w:val="18"/>
              </w:rPr>
              <w:t>Fast, low-resource local development</w:t>
            </w:r>
          </w:p>
        </w:tc>
        <w:tc>
          <w:tcPr>
            <w:tcW w:type="dxa" w:w="2520"/>
            <w:vAlign w:val="center"/>
          </w:tcPr>
          <w:p>
            <w:r/>
            <w:r>
              <w:rPr>
                <w:b w:val="0"/>
                <w:sz w:val="18"/>
              </w:rPr>
              <w:t>Default</w:t>
            </w:r>
          </w:p>
        </w:tc>
      </w:tr>
      <w:tr>
        <w:tc>
          <w:tcPr>
            <w:tcW w:type="dxa" w:w="2520"/>
            <w:vAlign w:val="center"/>
          </w:tcPr>
          <w:p>
            <w:r/>
            <w:r>
              <w:rPr>
                <w:b w:val="0"/>
                <w:sz w:val="18"/>
              </w:rPr>
              <w:t>CI</w:t>
            </w:r>
          </w:p>
        </w:tc>
        <w:tc>
          <w:tcPr>
            <w:tcW w:type="dxa" w:w="2520"/>
            <w:vAlign w:val="center"/>
          </w:tcPr>
          <w:p>
            <w:r/>
            <w:r>
              <w:rPr>
                <w:b w:val="0"/>
                <w:sz w:val="18"/>
              </w:rPr>
              <w:t>PostgreSQL</w:t>
            </w:r>
          </w:p>
        </w:tc>
        <w:tc>
          <w:tcPr>
            <w:tcW w:type="dxa" w:w="2520"/>
            <w:vAlign w:val="center"/>
          </w:tcPr>
          <w:p>
            <w:r/>
            <w:r>
              <w:rPr>
                <w:b w:val="0"/>
                <w:sz w:val="18"/>
              </w:rPr>
              <w:t>Provider compatibility and integration testing</w:t>
            </w:r>
          </w:p>
        </w:tc>
        <w:tc>
          <w:tcPr>
            <w:tcW w:type="dxa" w:w="2520"/>
            <w:vAlign w:val="center"/>
          </w:tcPr>
          <w:p>
            <w:r/>
            <w:r>
              <w:rPr>
                <w:b w:val="0"/>
                <w:sz w:val="18"/>
              </w:rPr>
              <w:t>Required</w:t>
            </w:r>
          </w:p>
        </w:tc>
      </w:tr>
      <w:tr>
        <w:tc>
          <w:tcPr>
            <w:tcW w:type="dxa" w:w="2520"/>
            <w:vAlign w:val="center"/>
          </w:tcPr>
          <w:p>
            <w:r/>
            <w:r>
              <w:rPr>
                <w:b w:val="0"/>
                <w:sz w:val="18"/>
              </w:rPr>
              <w:t>Staging</w:t>
            </w:r>
          </w:p>
        </w:tc>
        <w:tc>
          <w:tcPr>
            <w:tcW w:type="dxa" w:w="2520"/>
            <w:vAlign w:val="center"/>
          </w:tcPr>
          <w:p>
            <w:r/>
            <w:r>
              <w:rPr>
                <w:b w:val="0"/>
                <w:sz w:val="18"/>
              </w:rPr>
              <w:t>PostgreSQL</w:t>
            </w:r>
          </w:p>
        </w:tc>
        <w:tc>
          <w:tcPr>
            <w:tcW w:type="dxa" w:w="2520"/>
            <w:vAlign w:val="center"/>
          </w:tcPr>
          <w:p>
            <w:r/>
            <w:r>
              <w:rPr>
                <w:b w:val="0"/>
                <w:sz w:val="18"/>
              </w:rPr>
              <w:t>Production-like validation</w:t>
            </w:r>
          </w:p>
        </w:tc>
        <w:tc>
          <w:tcPr>
            <w:tcW w:type="dxa" w:w="2520"/>
            <w:vAlign w:val="center"/>
          </w:tcPr>
          <w:p>
            <w:r/>
            <w:r>
              <w:rPr>
                <w:b w:val="0"/>
                <w:sz w:val="18"/>
              </w:rPr>
              <w:t>Required</w:t>
            </w:r>
          </w:p>
        </w:tc>
      </w:tr>
      <w:tr>
        <w:tc>
          <w:tcPr>
            <w:tcW w:type="dxa" w:w="2520"/>
            <w:vAlign w:val="center"/>
          </w:tcPr>
          <w:p>
            <w:r/>
            <w:r>
              <w:rPr>
                <w:b w:val="0"/>
                <w:sz w:val="18"/>
              </w:rPr>
              <w:t>Production</w:t>
            </w:r>
          </w:p>
        </w:tc>
        <w:tc>
          <w:tcPr>
            <w:tcW w:type="dxa" w:w="2520"/>
            <w:vAlign w:val="center"/>
          </w:tcPr>
          <w:p>
            <w:r/>
            <w:r>
              <w:rPr>
                <w:b w:val="0"/>
                <w:sz w:val="18"/>
              </w:rPr>
              <w:t>PostgreSQL</w:t>
            </w:r>
          </w:p>
        </w:tc>
        <w:tc>
          <w:tcPr>
            <w:tcW w:type="dxa" w:w="2520"/>
            <w:vAlign w:val="center"/>
          </w:tcPr>
          <w:p>
            <w:r/>
            <w:r>
              <w:rPr>
                <w:b w:val="0"/>
                <w:sz w:val="18"/>
              </w:rPr>
              <w:t>Canonical SaaS database</w:t>
            </w:r>
          </w:p>
        </w:tc>
        <w:tc>
          <w:tcPr>
            <w:tcW w:type="dxa" w:w="2520"/>
            <w:vAlign w:val="center"/>
          </w:tcPr>
          <w:p>
            <w:r/>
            <w:r>
              <w:rPr>
                <w:b w:val="0"/>
                <w:sz w:val="18"/>
              </w:rPr>
              <w:t>Required</w:t>
            </w:r>
          </w:p>
        </w:tc>
      </w:tr>
    </w:tbl>
    <w:p>
      <w:pPr>
        <w:pStyle w:val="Heading1"/>
      </w:pPr>
      <w:r>
        <w:t>4. Why Code First</w:t>
      </w:r>
    </w:p>
    <w:p>
      <w:pPr>
        <w:pStyle w:val="ListBullet"/>
      </w:pPr>
      <w:r>
        <w:t>VetFlow is a new product rather than an application being reverse-engineered from an existing database.</w:t>
      </w:r>
    </w:p>
    <w:p>
      <w:pPr>
        <w:pStyle w:val="ListBullet"/>
      </w:pPr>
      <w:r>
        <w:t>Business workflows and domain concepts should drive the persistence model.</w:t>
      </w:r>
    </w:p>
    <w:p>
      <w:pPr>
        <w:pStyle w:val="ListBullet"/>
      </w:pPr>
      <w:r>
        <w:t>EF Core migrations are version-controlled artifacts.</w:t>
      </w:r>
    </w:p>
    <w:p>
      <w:pPr>
        <w:pStyle w:val="ListBullet"/>
      </w:pPr>
      <w:r>
        <w:t>The same application model can target SQLite locally and PostgreSQL in deployed environments.</w:t>
      </w:r>
    </w:p>
    <w:p>
      <w:pPr>
        <w:pStyle w:val="ListBullet"/>
      </w:pPr>
      <w:r>
        <w:t>Antigravity and DevWeave can trace requirements → stories → domain model → code → migrations → tests.</w:t>
      </w:r>
    </w:p>
    <w:p>
      <w:pPr>
        <w:pStyle w:val="Heading1"/>
      </w:pPr>
      <w:r>
        <w:t>5. Code First Does Not Mean Database-by-Convention</w:t>
      </w:r>
    </w:p>
    <w:p>
      <w:r>
        <w:t>EF Core must not be allowed to create an uncontrolled schema from C# conventions. Important database behavior must be explicitly modeled.</w:t>
      </w:r>
    </w:p>
    <w:p>
      <w:pPr>
        <w:pStyle w:val="ListBullet"/>
      </w:pPr>
      <w:r>
        <w:t>Primary keys and generated values</w:t>
      </w:r>
    </w:p>
    <w:p>
      <w:pPr>
        <w:pStyle w:val="ListBullet"/>
      </w:pPr>
      <w:r>
        <w:t>Relationships and delete behavior</w:t>
      </w:r>
    </w:p>
    <w:p>
      <w:pPr>
        <w:pStyle w:val="ListBullet"/>
      </w:pPr>
      <w:r>
        <w:t>Required/optional fields</w:t>
      </w:r>
    </w:p>
    <w:p>
      <w:pPr>
        <w:pStyle w:val="ListBullet"/>
      </w:pPr>
      <w:r>
        <w:t>Maximum string lengths</w:t>
      </w:r>
    </w:p>
    <w:p>
      <w:pPr>
        <w:pStyle w:val="ListBullet"/>
      </w:pPr>
      <w:r>
        <w:t>Decimal precision and scale</w:t>
      </w:r>
    </w:p>
    <w:p>
      <w:pPr>
        <w:pStyle w:val="ListBullet"/>
      </w:pPr>
      <w:r>
        <w:t>Unique constraints</w:t>
      </w:r>
    </w:p>
    <w:p>
      <w:pPr>
        <w:pStyle w:val="ListBullet"/>
      </w:pPr>
      <w:r>
        <w:t>Indexes and composite indexes</w:t>
      </w:r>
    </w:p>
    <w:p>
      <w:pPr>
        <w:pStyle w:val="ListBullet"/>
      </w:pPr>
      <w:r>
        <w:t>Concurrency behavior</w:t>
      </w:r>
    </w:p>
    <w:p>
      <w:pPr>
        <w:pStyle w:val="ListBullet"/>
      </w:pPr>
      <w:r>
        <w:t>Value conversions</w:t>
      </w:r>
    </w:p>
    <w:p>
      <w:pPr>
        <w:pStyle w:val="ListBullet"/>
      </w:pPr>
      <w:r>
        <w:t>Provider-specific behavior where deliberately required</w:t>
      </w:r>
    </w:p>
    <w:p>
      <w:pPr>
        <w:pStyle w:val="Heading1"/>
      </w:pPr>
      <w:r>
        <w:t>6. Layering Rule</w:t>
      </w:r>
    </w:p>
    <w:p>
      <w:pPr>
        <w:ind w:left="504" w:right="288"/>
      </w:pPr>
      <w:r>
        <w:rPr>
          <w:rFonts w:ascii="Consolas" w:hAnsi="Consolas"/>
          <w:sz w:val="18"/>
        </w:rPr>
        <w:t>VetFlow</w:t>
        <w:br/>
        <w:t>├── Domain</w:t>
        <w:br/>
        <w:t>│   └── Database-provider independent</w:t>
        <w:br/>
        <w:t>├── Application</w:t>
        <w:br/>
        <w:t>│   └── Database-provider independent</w:t>
        <w:br/>
        <w:t>├── Infrastructure</w:t>
        <w:br/>
        <w:t>│   ├── EF Core</w:t>
        <w:br/>
        <w:t>│   ├── SQLite provider</w:t>
        <w:br/>
        <w:t>│   └── PostgreSQL provider</w:t>
        <w:br/>
        <w:t>└── API</w:t>
        <w:br/>
        <w:t xml:space="preserve">    └── Provider-independent business APIs</w:t>
      </w:r>
    </w:p>
    <w:p>
      <w:r>
        <w:t>SQLite- or PostgreSQL-specific behavior must not leak into domain or application business logic.</w:t>
      </w:r>
    </w:p>
    <w:p>
      <w:pPr>
        <w:pStyle w:val="Heading1"/>
      </w:pPr>
      <w:r>
        <w:t>7. Local SQLite Strategy</w:t>
      </w:r>
    </w:p>
    <w:p>
      <w:r>
        <w:t>SQLite is a development optimization, not the production architecture. It minimizes RAM/CPU usage, avoids requiring a local database server, simplifies onboarding, and makes Antigravity-driven local development faster.</w:t>
      </w:r>
    </w:p>
    <w:p>
      <w:pPr>
        <w:ind w:left="504" w:right="288"/>
      </w:pPr>
      <w:r>
        <w:rPr>
          <w:rFonts w:ascii="Consolas" w:hAnsi="Consolas"/>
          <w:sz w:val="18"/>
        </w:rPr>
        <w:t>.devdata/</w:t>
        <w:br/>
        <w:t>├── platform.db</w:t>
        <w:br/>
        <w:t>├── tenant-demo.db</w:t>
        <w:br/>
        <w:t>└── tenant-test.db</w:t>
      </w:r>
    </w:p>
    <w:p>
      <w:pPr>
        <w:pStyle w:val="ListBullet"/>
      </w:pPr>
      <w:r>
        <w:t>Local development may use separate SQLite files to simulate platform and tenant databases.</w:t>
      </w:r>
    </w:p>
    <w:p>
      <w:pPr>
        <w:pStyle w:val="ListBullet"/>
      </w:pPr>
      <w:r>
        <w:t>Developers should be able to delete and recreate local databases safely.</w:t>
      </w:r>
    </w:p>
    <w:p>
      <w:pPr>
        <w:pStyle w:val="ListBullet"/>
      </w:pPr>
      <w:r>
        <w:t>SQLite-specific shortcuts must not influence domain design.</w:t>
      </w:r>
    </w:p>
    <w:p>
      <w:pPr>
        <w:pStyle w:val="ListBullet"/>
      </w:pPr>
      <w:r>
        <w:t>Local development must still exercise tenant resolution and tenant isolation.</w:t>
      </w:r>
    </w:p>
    <w:p>
      <w:pPr>
        <w:pStyle w:val="Heading1"/>
      </w:pPr>
      <w:r>
        <w:t>8. PostgreSQL as the Canonical Provider</w:t>
      </w:r>
    </w:p>
    <w:p>
      <w:r>
        <w:t>PostgreSQL is the architectural reference for deployed VetFlow environments. Any behavior that matters to production must be validated against PostgreSQL before a story is considered complete.</w:t>
      </w:r>
    </w:p>
    <w:p>
      <w:pPr>
        <w:pStyle w:val="ListBullet"/>
      </w:pPr>
      <w:r>
        <w:t>PostgreSQL is mandatory in CI for persistence/integration validation.</w:t>
      </w:r>
    </w:p>
    <w:p>
      <w:pPr>
        <w:pStyle w:val="ListBullet"/>
      </w:pPr>
      <w:r>
        <w:t>Staging uses PostgreSQL.</w:t>
      </w:r>
    </w:p>
    <w:p>
      <w:pPr>
        <w:pStyle w:val="ListBullet"/>
      </w:pPr>
      <w:r>
        <w:t>Production uses PostgreSQL.</w:t>
      </w:r>
    </w:p>
    <w:p>
      <w:pPr>
        <w:pStyle w:val="ListBullet"/>
      </w:pPr>
      <w:r>
        <w:t>PostgreSQL-specific capabilities require an ADR when they materially affect architecture.</w:t>
      </w:r>
    </w:p>
    <w:p>
      <w:pPr>
        <w:pStyle w:val="ListBullet"/>
      </w:pPr>
      <w:r>
        <w:t>Production database-per-tenant provisioning is PostgreSQL-based.</w:t>
      </w:r>
    </w:p>
    <w:p>
      <w:pPr>
        <w:pStyle w:val="Heading1"/>
      </w:pPr>
      <w:r>
        <w:t>9. Database-Per-Tenant Architecture</w:t>
      </w:r>
    </w:p>
    <w:p>
      <w:pPr>
        <w:ind w:left="504" w:right="288"/>
      </w:pPr>
      <w:r>
        <w:rPr>
          <w:rFonts w:ascii="Consolas" w:hAnsi="Consolas"/>
          <w:sz w:val="18"/>
        </w:rPr>
        <w:t>Production</w:t>
        <w:br/>
        <w:br/>
        <w:t>Platform PostgreSQL</w:t>
        <w:br/>
        <w:t xml:space="preserve">       │</w:t>
        <w:br/>
        <w:t xml:space="preserve">       ├── Tenant A PostgreSQL DB</w:t>
        <w:br/>
        <w:t xml:space="preserve">       ├── Tenant B PostgreSQL DB</w:t>
        <w:br/>
        <w:t xml:space="preserve">       ├── Tenant C PostgreSQL DB</w:t>
        <w:br/>
        <w:t xml:space="preserve">       └── Tenant D PostgreSQL DB</w:t>
        <w:br/>
        <w:br/>
        <w:t>Local development</w:t>
        <w:br/>
        <w:br/>
        <w:t>Platform SQLite</w:t>
        <w:br/>
        <w:t xml:space="preserve">       │</w:t>
        <w:br/>
        <w:t xml:space="preserve">       ├── tenant-demo.db</w:t>
        <w:br/>
        <w:t xml:space="preserve">       └── tenant-test.db</w:t>
      </w:r>
    </w:p>
    <w:p>
      <w:r>
        <w:t>The local provider changes for developer convenience; the tenant-isolation architecture does not.</w:t>
      </w:r>
    </w:p>
    <w:p>
      <w:pPr>
        <w:pStyle w:val="Heading1"/>
      </w:pPr>
      <w:r>
        <w:t>10. Migrations Policy</w:t>
      </w:r>
    </w:p>
    <w:p>
      <w:pPr>
        <w:pStyle w:val="ListBullet"/>
      </w:pPr>
      <w:r>
        <w:t>All EF Core migrations are committed to source control.</w:t>
      </w:r>
    </w:p>
    <w:p>
      <w:pPr>
        <w:pStyle w:val="ListBullet"/>
      </w:pPr>
      <w:r>
        <w:t>Migrations must support creation of a fresh database.</w:t>
      </w:r>
    </w:p>
    <w:p>
      <w:pPr>
        <w:pStyle w:val="ListBullet"/>
      </w:pPr>
      <w:r>
        <w:t>Migrations must support upgrading an existing database.</w:t>
      </w:r>
    </w:p>
    <w:p>
      <w:pPr>
        <w:pStyle w:val="ListBullet"/>
      </w:pPr>
      <w:r>
        <w:t>Schema changes must be reviewable as source-controlled artifacts.</w:t>
      </w:r>
    </w:p>
    <w:p>
      <w:pPr>
        <w:pStyle w:val="ListBullet"/>
      </w:pPr>
      <w:r>
        <w:t>Production deployment must apply migrations through a controlled deployment process.</w:t>
      </w:r>
    </w:p>
    <w:p>
      <w:pPr>
        <w:pStyle w:val="ListBullet"/>
      </w:pPr>
      <w:r>
        <w:t>Large reference datasets must use the established deterministic seed strategy rather than giant migrations.</w:t>
      </w:r>
    </w:p>
    <w:p>
      <w:pPr>
        <w:pStyle w:val="Heading1"/>
      </w:pPr>
      <w:r>
        <w:t>11. Provider Compatibility Policy</w:t>
      </w:r>
    </w:p>
    <w:p>
      <w:r>
        <w:t>Every persistence-related story follows this validation path:</w:t>
      </w:r>
    </w:p>
    <w:p>
      <w:pPr>
        <w:ind w:left="504" w:right="288"/>
      </w:pPr>
      <w:r>
        <w:rPr>
          <w:rFonts w:ascii="Consolas" w:hAnsi="Consolas"/>
          <w:sz w:val="18"/>
        </w:rPr>
        <w:t>Developer implementation</w:t>
        <w:br/>
        <w:t xml:space="preserve">        ↓</w:t>
        <w:br/>
        <w:t>SQLite local validation</w:t>
        <w:br/>
        <w:t xml:space="preserve">        ↓</w:t>
        <w:br/>
        <w:t>Unit tests</w:t>
        <w:br/>
        <w:t xml:space="preserve">        ↓</w:t>
        <w:br/>
        <w:t>PostgreSQL CI migration</w:t>
        <w:br/>
        <w:t xml:space="preserve">        ↓</w:t>
        <w:br/>
        <w:t>PostgreSQL integration tests</w:t>
        <w:br/>
        <w:t xml:space="preserve">        ↓</w:t>
        <w:br/>
        <w:t>Acceptance criteria verification</w:t>
        <w:br/>
        <w:t xml:space="preserve">        ↓</w:t>
        <w:br/>
        <w:t>Story complete</w:t>
      </w:r>
    </w:p>
    <w:p>
      <w:r>
        <w:t>SQLite passing alone is not sufficient evidence for persistence stories.</w:t>
      </w:r>
    </w:p>
    <w:p>
      <w:pPr>
        <w:pStyle w:val="Heading1"/>
      </w:pPr>
      <w:r>
        <w:t>12. PostgreSQL-Specific Features</w:t>
      </w:r>
    </w:p>
    <w:p>
      <w:r>
        <w:t>Provider-specific features are allowed when there is a real business or technical reason. Examples include JSONB, PostgreSQL-specific indexes, full-text search, or PostgreSQL-specific functions.</w:t>
      </w:r>
    </w:p>
    <w:p>
      <w:pPr>
        <w:pStyle w:val="ListBullet"/>
      </w:pPr>
      <w:r>
        <w:t>A PostgreSQL-specific feature must be intentional.</w:t>
      </w:r>
    </w:p>
    <w:p>
      <w:pPr>
        <w:pStyle w:val="ListBullet"/>
      </w:pPr>
      <w:r>
        <w:t>The reason and trade-off must be documented in an ADR.</w:t>
      </w:r>
    </w:p>
    <w:p>
      <w:pPr>
        <w:pStyle w:val="ListBullet"/>
      </w:pPr>
      <w:r>
        <w:t>The feature must have PostgreSQL integration-test coverage.</w:t>
      </w:r>
    </w:p>
    <w:p>
      <w:pPr>
        <w:pStyle w:val="ListBullet"/>
      </w:pPr>
      <w:r>
        <w:t>The feature must not unnecessarily leak into domain/application code.</w:t>
      </w:r>
    </w:p>
    <w:p>
      <w:pPr>
        <w:pStyle w:val="Heading1"/>
      </w:pPr>
      <w:r>
        <w:t>13. Raw SQL Policy</w:t>
      </w:r>
    </w:p>
    <w:p>
      <w:pPr>
        <w:pStyle w:val="ListBullet"/>
      </w:pPr>
      <w:r>
        <w:t>Prefer EF Core/LINQ when it is sufficient and performant.</w:t>
      </w:r>
    </w:p>
    <w:p>
      <w:pPr>
        <w:pStyle w:val="ListBullet"/>
      </w:pPr>
      <w:r>
        <w:t>Raw SQL is allowed when it provides a measurable technical benefit.</w:t>
      </w:r>
    </w:p>
    <w:p>
      <w:pPr>
        <w:pStyle w:val="ListBullet"/>
      </w:pPr>
      <w:r>
        <w:t>Raw SQL must be parameterized and tested.</w:t>
      </w:r>
    </w:p>
    <w:p>
      <w:pPr>
        <w:pStyle w:val="ListBullet"/>
      </w:pPr>
      <w:r>
        <w:t>Provider-specific SQL requires explicit documentation and PostgreSQL CI validation.</w:t>
      </w:r>
    </w:p>
    <w:p>
      <w:pPr>
        <w:pStyle w:val="ListBullet"/>
      </w:pPr>
      <w:r>
        <w:t>Do not introduce raw SQL merely because it is shorter than an equivalent EF Core query.</w:t>
      </w:r>
    </w:p>
    <w:p>
      <w:pPr>
        <w:pStyle w:val="Heading1"/>
      </w:pPr>
      <w:r>
        <w:t>14. DevWeave Project Rule</w:t>
      </w:r>
    </w:p>
    <w:p>
      <w:r>
        <w:t>The following policy should be stored as a project-level DevWeave engineering rule and automatically applied to relevant stories.</w:t>
      </w:r>
    </w:p>
    <w:p>
      <w:pPr>
        <w:ind w:left="504" w:right="288"/>
      </w:pPr>
      <w:r>
        <w:rPr>
          <w:rFonts w:ascii="Consolas" w:hAnsi="Consolas"/>
          <w:sz w:val="18"/>
        </w:rPr>
        <w:t>DATABASE-PROVIDER-POLICY</w:t>
        <w:br/>
        <w:br/>
        <w:t>1. VetFlow uses EF Core Code First.</w:t>
        <w:br/>
        <w:t>2. Business workflows and the domain model drive persistence design.</w:t>
        <w:br/>
        <w:t>3. SQLite is the default provider for local developer machines.</w:t>
        <w:br/>
        <w:t>4. PostgreSQL is the canonical provider for CI, staging and production.</w:t>
        <w:br/>
        <w:t>5. Domain and application layers must remain database-provider independent.</w:t>
        <w:br/>
        <w:t>6. Important keys, relationships, constraints, indexes and precision must be explicitly configured.</w:t>
        <w:br/>
        <w:t>7. SQLite-specific behavior must not be introduced into business logic.</w:t>
        <w:br/>
        <w:t>8. PostgreSQL-specific functionality requires an ADR when it affects architecture.</w:t>
        <w:br/>
        <w:t>9. Database migrations are version-controlled.</w:t>
        <w:br/>
        <w:t>10. Any persistence-related story must be validated against PostgreSQL before completion.</w:t>
        <w:br/>
        <w:t>11. SQLite validation alone does not establish production compatibility.</w:t>
        <w:br/>
        <w:t>12. Database-per-tenant architecture must remain intact in both local and deployed environments.</w:t>
      </w:r>
    </w:p>
    <w:p>
      <w:pPr>
        <w:pStyle w:val="Heading1"/>
      </w:pPr>
      <w:r>
        <w:t>15. User Stories That Must Be Updated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Story</w:t>
            </w:r>
          </w:p>
        </w:tc>
        <w:tc>
          <w:tcPr>
            <w:tcW w:type="dxa" w:w="3360"/>
            <w:vAlign w:val="center"/>
            <w:shd w:fill="D9EAF7"/>
          </w:tcPr>
          <w:p>
            <w:r/>
            <w:r>
              <w:rPr>
                <w:b/>
                <w:sz w:val="18"/>
              </w:rPr>
              <w:t>Change</w:t>
            </w:r>
          </w:p>
        </w:tc>
        <w:tc>
          <w:tcPr>
            <w:tcW w:type="dxa" w:w="3360"/>
            <w:vAlign w:val="center"/>
            <w:shd w:fill="D9EAF7"/>
          </w:tcPr>
          <w:p>
            <w:r/>
            <w:r>
              <w:rPr>
                <w:b/>
                <w:sz w:val="18"/>
              </w:rPr>
              <w:t>Required Acceptance Addition</w:t>
            </w:r>
          </w:p>
        </w:tc>
      </w:tr>
      <w:tr>
        <w:tc>
          <w:tcPr>
            <w:tcW w:type="dxa" w:w="3360"/>
            <w:vAlign w:val="center"/>
          </w:tcPr>
          <w:p>
            <w:r/>
            <w:r>
              <w:rPr>
                <w:b w:val="0"/>
                <w:sz w:val="18"/>
              </w:rPr>
              <w:t>VF-003</w:t>
            </w:r>
          </w:p>
        </w:tc>
        <w:tc>
          <w:tcPr>
            <w:tcW w:type="dxa" w:w="3360"/>
            <w:vAlign w:val="center"/>
          </w:tcPr>
          <w:p>
            <w:r/>
            <w:r>
              <w:rPr>
                <w:b w:val="0"/>
                <w:sz w:val="18"/>
              </w:rPr>
              <w:t>Local development environment</w:t>
            </w:r>
          </w:p>
        </w:tc>
        <w:tc>
          <w:tcPr>
            <w:tcW w:type="dxa" w:w="3360"/>
            <w:vAlign w:val="center"/>
          </w:tcPr>
          <w:p>
            <w:r/>
            <w:r>
              <w:rPr>
                <w:b w:val="0"/>
                <w:sz w:val="18"/>
              </w:rPr>
              <w:t>SQLite is the default local provider; local platform/tenant DB files can be created and reset.</w:t>
            </w:r>
          </w:p>
        </w:tc>
      </w:tr>
      <w:tr>
        <w:tc>
          <w:tcPr>
            <w:tcW w:type="dxa" w:w="3360"/>
            <w:vAlign w:val="center"/>
          </w:tcPr>
          <w:p>
            <w:r/>
            <w:r>
              <w:rPr>
                <w:b w:val="0"/>
                <w:sz w:val="18"/>
              </w:rPr>
              <w:t>VF-004</w:t>
            </w:r>
          </w:p>
        </w:tc>
        <w:tc>
          <w:tcPr>
            <w:tcW w:type="dxa" w:w="3360"/>
            <w:vAlign w:val="center"/>
          </w:tcPr>
          <w:p>
            <w:r/>
            <w:r>
              <w:rPr>
                <w:b w:val="0"/>
                <w:sz w:val="18"/>
              </w:rPr>
              <w:t>Rename to EF Core Code First and Database Providers</w:t>
            </w:r>
          </w:p>
        </w:tc>
        <w:tc>
          <w:tcPr>
            <w:tcW w:type="dxa" w:w="3360"/>
            <w:vAlign w:val="center"/>
          </w:tcPr>
          <w:p>
            <w:r/>
            <w:r>
              <w:rPr>
                <w:b w:val="0"/>
                <w:sz w:val="18"/>
              </w:rPr>
              <w:t>Configure SQLite + PostgreSQL; explicit mappings; migrations; PostgreSQL compatibility validation.</w:t>
            </w:r>
          </w:p>
        </w:tc>
      </w:tr>
      <w:tr>
        <w:tc>
          <w:tcPr>
            <w:tcW w:type="dxa" w:w="3360"/>
            <w:vAlign w:val="center"/>
          </w:tcPr>
          <w:p>
            <w:r/>
            <w:r>
              <w:rPr>
                <w:b w:val="0"/>
                <w:sz w:val="18"/>
              </w:rPr>
              <w:t>VF-009</w:t>
            </w:r>
          </w:p>
        </w:tc>
        <w:tc>
          <w:tcPr>
            <w:tcW w:type="dxa" w:w="3360"/>
            <w:vAlign w:val="center"/>
          </w:tcPr>
          <w:p>
            <w:r/>
            <w:r>
              <w:rPr>
                <w:b w:val="0"/>
                <w:sz w:val="18"/>
              </w:rPr>
              <w:t>Test architecture</w:t>
            </w:r>
          </w:p>
        </w:tc>
        <w:tc>
          <w:tcPr>
            <w:tcW w:type="dxa" w:w="3360"/>
            <w:vAlign w:val="center"/>
          </w:tcPr>
          <w:p>
            <w:r/>
            <w:r>
              <w:rPr>
                <w:b w:val="0"/>
                <w:sz w:val="18"/>
              </w:rPr>
              <w:t>Use SQLite for lightweight local tests where appropriate and PostgreSQL for integration/provider validation.</w:t>
            </w:r>
          </w:p>
        </w:tc>
      </w:tr>
      <w:tr>
        <w:tc>
          <w:tcPr>
            <w:tcW w:type="dxa" w:w="3360"/>
            <w:vAlign w:val="center"/>
          </w:tcPr>
          <w:p>
            <w:r/>
            <w:r>
              <w:rPr>
                <w:b w:val="0"/>
                <w:sz w:val="18"/>
              </w:rPr>
              <w:t>VF-010</w:t>
            </w:r>
          </w:p>
        </w:tc>
        <w:tc>
          <w:tcPr>
            <w:tcW w:type="dxa" w:w="3360"/>
            <w:vAlign w:val="center"/>
          </w:tcPr>
          <w:p>
            <w:r/>
            <w:r>
              <w:rPr>
                <w:b w:val="0"/>
                <w:sz w:val="18"/>
              </w:rPr>
              <w:t>Containerization</w:t>
            </w:r>
          </w:p>
        </w:tc>
        <w:tc>
          <w:tcPr>
            <w:tcW w:type="dxa" w:w="3360"/>
            <w:vAlign w:val="center"/>
          </w:tcPr>
          <w:p>
            <w:r/>
            <w:r>
              <w:rPr>
                <w:b w:val="0"/>
                <w:sz w:val="18"/>
              </w:rPr>
              <w:t>Provide PostgreSQL-backed CI/staging-like execution without making PostgreSQL mandatory on every developer laptop.</w:t>
            </w:r>
          </w:p>
        </w:tc>
      </w:tr>
      <w:tr>
        <w:tc>
          <w:tcPr>
            <w:tcW w:type="dxa" w:w="3360"/>
            <w:vAlign w:val="center"/>
          </w:tcPr>
          <w:p>
            <w:r/>
            <w:r>
              <w:rPr>
                <w:b w:val="0"/>
                <w:sz w:val="18"/>
              </w:rPr>
              <w:t>VF-011</w:t>
            </w:r>
          </w:p>
        </w:tc>
        <w:tc>
          <w:tcPr>
            <w:tcW w:type="dxa" w:w="3360"/>
            <w:vAlign w:val="center"/>
          </w:tcPr>
          <w:p>
            <w:r/>
            <w:r>
              <w:rPr>
                <w:b w:val="0"/>
                <w:sz w:val="18"/>
              </w:rPr>
              <w:t>Platform DB</w:t>
            </w:r>
          </w:p>
        </w:tc>
        <w:tc>
          <w:tcPr>
            <w:tcW w:type="dxa" w:w="3360"/>
            <w:vAlign w:val="center"/>
          </w:tcPr>
          <w:p>
            <w:r/>
            <w:r>
              <w:rPr>
                <w:b w:val="0"/>
                <w:sz w:val="18"/>
              </w:rPr>
              <w:t>Support SQLite locally and PostgreSQL in deployed environments without changing application semantics.</w:t>
            </w:r>
          </w:p>
        </w:tc>
      </w:tr>
      <w:tr>
        <w:tc>
          <w:tcPr>
            <w:tcW w:type="dxa" w:w="3360"/>
            <w:vAlign w:val="center"/>
          </w:tcPr>
          <w:p>
            <w:r/>
            <w:r>
              <w:rPr>
                <w:b w:val="0"/>
                <w:sz w:val="18"/>
              </w:rPr>
              <w:t>VF-012</w:t>
            </w:r>
          </w:p>
        </w:tc>
        <w:tc>
          <w:tcPr>
            <w:tcW w:type="dxa" w:w="3360"/>
            <w:vAlign w:val="center"/>
          </w:tcPr>
          <w:p>
            <w:r/>
            <w:r>
              <w:rPr>
                <w:b w:val="0"/>
                <w:sz w:val="18"/>
              </w:rPr>
              <w:t>Tenant DB resolver</w:t>
            </w:r>
          </w:p>
        </w:tc>
        <w:tc>
          <w:tcPr>
            <w:tcW w:type="dxa" w:w="3360"/>
            <w:vAlign w:val="center"/>
          </w:tcPr>
          <w:p>
            <w:r/>
            <w:r>
              <w:rPr>
                <w:b w:val="0"/>
                <w:sz w:val="18"/>
              </w:rPr>
              <w:t>Resolver must support local SQLite tenant files and deployed PostgreSQL tenant databases.</w:t>
            </w:r>
          </w:p>
        </w:tc>
      </w:tr>
      <w:tr>
        <w:tc>
          <w:tcPr>
            <w:tcW w:type="dxa" w:w="3360"/>
            <w:vAlign w:val="center"/>
          </w:tcPr>
          <w:p>
            <w:r/>
            <w:r>
              <w:rPr>
                <w:b w:val="0"/>
                <w:sz w:val="18"/>
              </w:rPr>
              <w:t>VF-013</w:t>
            </w:r>
          </w:p>
        </w:tc>
        <w:tc>
          <w:tcPr>
            <w:tcW w:type="dxa" w:w="3360"/>
            <w:vAlign w:val="center"/>
          </w:tcPr>
          <w:p>
            <w:r/>
            <w:r>
              <w:rPr>
                <w:b w:val="0"/>
                <w:sz w:val="18"/>
              </w:rPr>
              <w:t>Tenant DB provisioning</w:t>
            </w:r>
          </w:p>
        </w:tc>
        <w:tc>
          <w:tcPr>
            <w:tcW w:type="dxa" w:w="3360"/>
            <w:vAlign w:val="center"/>
          </w:tcPr>
          <w:p>
            <w:r/>
            <w:r>
              <w:rPr>
                <w:b w:val="0"/>
                <w:sz w:val="18"/>
              </w:rPr>
              <w:t>Provision SQLite files locally and PostgreSQL tenant databases in deployed environments.</w:t>
            </w:r>
          </w:p>
        </w:tc>
      </w:tr>
      <w:tr>
        <w:tc>
          <w:tcPr>
            <w:tcW w:type="dxa" w:w="3360"/>
            <w:vAlign w:val="center"/>
          </w:tcPr>
          <w:p>
            <w:r/>
            <w:r>
              <w:rPr>
                <w:b w:val="0"/>
                <w:sz w:val="18"/>
              </w:rPr>
              <w:t>VF-016</w:t>
            </w:r>
          </w:p>
        </w:tc>
        <w:tc>
          <w:tcPr>
            <w:tcW w:type="dxa" w:w="3360"/>
            <w:vAlign w:val="center"/>
          </w:tcPr>
          <w:p>
            <w:r/>
            <w:r>
              <w:rPr>
                <w:b w:val="0"/>
                <w:sz w:val="18"/>
              </w:rPr>
              <w:t>Global reference metadata</w:t>
            </w:r>
          </w:p>
        </w:tc>
        <w:tc>
          <w:tcPr>
            <w:tcW w:type="dxa" w:w="3360"/>
            <w:vAlign w:val="center"/>
          </w:tcPr>
          <w:p>
            <w:r/>
            <w:r>
              <w:rPr>
                <w:b w:val="0"/>
                <w:sz w:val="18"/>
              </w:rPr>
              <w:t>Keep metadata persistence provider-neutral; validate migrations against PostgreSQL.</w:t>
            </w:r>
          </w:p>
        </w:tc>
      </w:tr>
      <w:tr>
        <w:tc>
          <w:tcPr>
            <w:tcW w:type="dxa" w:w="3360"/>
            <w:vAlign w:val="center"/>
          </w:tcPr>
          <w:p>
            <w:r/>
            <w:r>
              <w:rPr>
                <w:b w:val="0"/>
                <w:sz w:val="18"/>
              </w:rPr>
              <w:t>VF-019+</w:t>
            </w:r>
          </w:p>
        </w:tc>
        <w:tc>
          <w:tcPr>
            <w:tcW w:type="dxa" w:w="3360"/>
            <w:vAlign w:val="center"/>
          </w:tcPr>
          <w:p>
            <w:r/>
            <w:r>
              <w:rPr>
                <w:b w:val="0"/>
                <w:sz w:val="18"/>
              </w:rPr>
              <w:t>Persistence-related stories</w:t>
            </w:r>
          </w:p>
        </w:tc>
        <w:tc>
          <w:tcPr>
            <w:tcW w:type="dxa" w:w="3360"/>
            <w:vAlign w:val="center"/>
          </w:tcPr>
          <w:p>
            <w:r/>
            <w:r>
              <w:rPr>
                <w:b w:val="0"/>
                <w:sz w:val="18"/>
              </w:rPr>
              <w:t>Any story changing persistence must include PostgreSQL migration/integration validation before completion.</w:t>
            </w:r>
          </w:p>
        </w:tc>
      </w:tr>
      <w:tr>
        <w:tc>
          <w:tcPr>
            <w:tcW w:type="dxa" w:w="3360"/>
            <w:vAlign w:val="center"/>
          </w:tcPr>
          <w:p>
            <w:r/>
            <w:r>
              <w:rPr>
                <w:b w:val="0"/>
                <w:sz w:val="18"/>
              </w:rPr>
              <w:t>VF-051</w:t>
            </w:r>
          </w:p>
        </w:tc>
        <w:tc>
          <w:tcPr>
            <w:tcW w:type="dxa" w:w="3360"/>
            <w:vAlign w:val="center"/>
          </w:tcPr>
          <w:p>
            <w:r/>
            <w:r>
              <w:rPr>
                <w:b w:val="0"/>
                <w:sz w:val="18"/>
              </w:rPr>
              <w:t>Tenant isolation regression suite</w:t>
            </w:r>
          </w:p>
        </w:tc>
        <w:tc>
          <w:tcPr>
            <w:tcW w:type="dxa" w:w="3360"/>
            <w:vAlign w:val="center"/>
          </w:tcPr>
          <w:p>
            <w:r/>
            <w:r>
              <w:rPr>
                <w:b w:val="0"/>
                <w:sz w:val="18"/>
              </w:rPr>
              <w:t>Isolation must be validated against PostgreSQL as the canonical deployed provider.</w:t>
            </w:r>
          </w:p>
        </w:tc>
      </w:tr>
    </w:tbl>
    <w:p>
      <w:pPr>
        <w:pStyle w:val="Heading1"/>
      </w:pPr>
      <w:r>
        <w:t>16. Stories That Do Not Need SQLite Repeated in Their Text</w:t>
      </w:r>
    </w:p>
    <w:p>
      <w:r>
        <w:t>The remaining stories should not repeatedly say 'use SQLite'. They inherit the project-level DATABASE-PROVIDER-POLICY through DevWeave engineering intelligence. This avoids noisy, duplicated instructions.</w:t>
      </w:r>
    </w:p>
    <w:p>
      <w:pPr>
        <w:pStyle w:val="Heading1"/>
      </w:pPr>
      <w:r>
        <w:t>17. Updated VF-004 Story</w:t>
      </w:r>
    </w:p>
    <w:p>
      <w:r>
        <w:t>Title: Configure EF Core Code First and Database Providers</w:t>
      </w:r>
    </w:p>
    <w:p>
      <w:r>
        <w:t>Goal: Establish provider-aware EF Core persistence while keeping business code provider-independent.</w:t>
      </w:r>
    </w:p>
    <w:p>
      <w:r>
        <w:t>Implementation requirements:</w:t>
      </w:r>
    </w:p>
    <w:p>
      <w:pPr>
        <w:pStyle w:val="ListBullet"/>
      </w:pPr>
      <w:r>
        <w:t>Configure EF Core Code First.</w:t>
      </w:r>
    </w:p>
    <w:p>
      <w:pPr>
        <w:pStyle w:val="ListBullet"/>
      </w:pPr>
      <w:r>
        <w:t>Support SQLite for local development.</w:t>
      </w:r>
    </w:p>
    <w:p>
      <w:pPr>
        <w:pStyle w:val="ListBullet"/>
      </w:pPr>
      <w:r>
        <w:t>Support PostgreSQL for CI, staging, and production.</w:t>
      </w:r>
    </w:p>
    <w:p>
      <w:pPr>
        <w:pStyle w:val="ListBullet"/>
      </w:pPr>
      <w:r>
        <w:t>Create explicit entity configurations for important schema behavior.</w:t>
      </w:r>
    </w:p>
    <w:p>
      <w:pPr>
        <w:pStyle w:val="ListBullet"/>
      </w:pPr>
      <w:r>
        <w:t>Configure migration assembly and migration strategy.</w:t>
      </w:r>
    </w:p>
    <w:p>
      <w:pPr>
        <w:pStyle w:val="ListBullet"/>
      </w:pPr>
      <w:r>
        <w:t>Provide provider selection through environment/configuration rather than business code.</w:t>
      </w:r>
    </w:p>
    <w:p>
      <w:pPr>
        <w:pStyle w:val="ListBullet"/>
      </w:pPr>
      <w:r>
        <w:t>Validate a fresh SQLite database.</w:t>
      </w:r>
    </w:p>
    <w:p>
      <w:pPr>
        <w:pStyle w:val="ListBullet"/>
      </w:pPr>
      <w:r>
        <w:t>Validate migrations against PostgreSQL.</w:t>
      </w:r>
    </w:p>
    <w:p>
      <w:pPr>
        <w:pStyle w:val="ListBullet"/>
      </w:pPr>
      <w:r>
        <w:t>Add automated integration tests for representative persistence workflows.</w:t>
      </w:r>
    </w:p>
    <w:p>
      <w:r>
        <w:t>Acceptance criteria:</w:t>
      </w:r>
    </w:p>
    <w:p>
      <w:pPr>
        <w:pStyle w:val="ListBullet"/>
      </w:pPr>
      <w:r>
        <w:t>The application starts locally with SQLite without requiring a database server.</w:t>
      </w:r>
    </w:p>
    <w:p>
      <w:pPr>
        <w:pStyle w:val="ListBullet"/>
      </w:pPr>
      <w:r>
        <w:t>EF Core can create/update the local development database.</w:t>
      </w:r>
    </w:p>
    <w:p>
      <w:pPr>
        <w:pStyle w:val="ListBullet"/>
      </w:pPr>
      <w:r>
        <w:t>The same model can migrate a PostgreSQL database.</w:t>
      </w:r>
    </w:p>
    <w:p>
      <w:pPr>
        <w:pStyle w:val="ListBullet"/>
      </w:pPr>
      <w:r>
        <w:t>No domain/application code contains SQLite or PostgreSQL-specific logic.</w:t>
      </w:r>
    </w:p>
    <w:p>
      <w:pPr>
        <w:pStyle w:val="ListBullet"/>
      </w:pPr>
      <w:r>
        <w:t>Important constraints and indexes are explicitly configured.</w:t>
      </w:r>
    </w:p>
    <w:p>
      <w:pPr>
        <w:pStyle w:val="ListBullet"/>
      </w:pPr>
      <w:r>
        <w:t>CI executes PostgreSQL migrations and integration tests.</w:t>
      </w:r>
    </w:p>
    <w:p>
      <w:pPr>
        <w:pStyle w:val="ListBullet"/>
      </w:pPr>
      <w:r>
        <w:t>Provider-specific deviations are documented.</w:t>
      </w:r>
    </w:p>
    <w:p>
      <w:pPr>
        <w:pStyle w:val="Heading1"/>
      </w:pPr>
      <w:r>
        <w:t>18. DevWeave Story Execution Rule</w:t>
      </w:r>
    </w:p>
    <w:p>
      <w:pPr>
        <w:ind w:left="504" w:right="288"/>
      </w:pPr>
      <w:r>
        <w:rPr>
          <w:rFonts w:ascii="Consolas" w:hAnsi="Consolas"/>
          <w:sz w:val="18"/>
        </w:rPr>
        <w:t>For every persistence-related story:</w:t>
        <w:br/>
        <w:br/>
        <w:t>1. Read the story and DATABASE-PROVIDER-POLICY.</w:t>
        <w:br/>
        <w:t>2. Inspect existing domain and EF Core configuration.</w:t>
        <w:br/>
        <w:t>3. Implement using provider-neutral application/domain code.</w:t>
        <w:br/>
        <w:t>4. Validate locally with SQLite.</w:t>
        <w:br/>
        <w:t>5. Run unit tests.</w:t>
        <w:br/>
        <w:t>6. Run PostgreSQL migration/integration validation.</w:t>
        <w:br/>
        <w:t>7. Check acceptance criteria.</w:t>
        <w:br/>
        <w:t>8. Record changed files, migration IDs and test evidence.</w:t>
        <w:br/>
        <w:t>9. Update the DevWeave knowledge graph/state.</w:t>
        <w:br/>
        <w:t>10. Do not refactor unrelated persistence code unless required by the story.</w:t>
      </w:r>
    </w:p>
    <w:p>
      <w:r>
        <w:t>Antigravity must stop and report an architectural conflict rather than silently weakening the provider policy or changing production PostgreSQL requirements.</w:t>
      </w:r>
    </w:p>
    <w:p>
      <w:pPr>
        <w:pStyle w:val="Heading1"/>
      </w:pPr>
      <w:r>
        <w:t>19. Final Architecture Decision</w:t>
      </w:r>
    </w:p>
    <w:p>
      <w:r>
        <w:t>VetFlow is officially defined as a Business/Domain-Driven Code First application using EF Core. SQLite is a lightweight local-development provider. PostgreSQL is the canonical production provider. The architecture, tenant model, business workflows, domain model, APIs, and application behavior must not be compromised to accommodate SQLite.</w:t>
      </w:r>
    </w:p>
    <w:p>
      <w:pPr>
        <w:pStyle w:val="Heading1"/>
      </w:pPr>
      <w:r>
        <w:t>20. Decision Summary</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8"/>
              </w:rPr>
              <w:t>Decision</w:t>
            </w:r>
          </w:p>
        </w:tc>
        <w:tc>
          <w:tcPr>
            <w:tcW w:type="dxa" w:w="5040"/>
            <w:vAlign w:val="center"/>
            <w:shd w:fill="D9EAF7"/>
          </w:tcPr>
          <w:p>
            <w:r/>
            <w:r>
              <w:rPr>
                <w:b/>
                <w:sz w:val="18"/>
              </w:rPr>
              <w:t>Final Choice</w:t>
            </w:r>
          </w:p>
        </w:tc>
      </w:tr>
      <w:tr>
        <w:tc>
          <w:tcPr>
            <w:tcW w:type="dxa" w:w="5040"/>
            <w:vAlign w:val="center"/>
          </w:tcPr>
          <w:p>
            <w:r/>
            <w:r>
              <w:rPr>
                <w:b w:val="0"/>
                <w:sz w:val="18"/>
              </w:rPr>
              <w:t>ORM</w:t>
            </w:r>
          </w:p>
        </w:tc>
        <w:tc>
          <w:tcPr>
            <w:tcW w:type="dxa" w:w="5040"/>
            <w:vAlign w:val="center"/>
          </w:tcPr>
          <w:p>
            <w:r/>
            <w:r>
              <w:rPr>
                <w:b w:val="0"/>
                <w:sz w:val="18"/>
              </w:rPr>
              <w:t>EF Core</w:t>
            </w:r>
          </w:p>
        </w:tc>
      </w:tr>
      <w:tr>
        <w:tc>
          <w:tcPr>
            <w:tcW w:type="dxa" w:w="5040"/>
            <w:vAlign w:val="center"/>
          </w:tcPr>
          <w:p>
            <w:r/>
            <w:r>
              <w:rPr>
                <w:b w:val="0"/>
                <w:sz w:val="18"/>
              </w:rPr>
              <w:t>Development approach</w:t>
            </w:r>
          </w:p>
        </w:tc>
        <w:tc>
          <w:tcPr>
            <w:tcW w:type="dxa" w:w="5040"/>
            <w:vAlign w:val="center"/>
          </w:tcPr>
          <w:p>
            <w:r/>
            <w:r>
              <w:rPr>
                <w:b w:val="0"/>
                <w:sz w:val="18"/>
              </w:rPr>
              <w:t>Business/Domain-Driven Code First</w:t>
            </w:r>
          </w:p>
        </w:tc>
      </w:tr>
      <w:tr>
        <w:tc>
          <w:tcPr>
            <w:tcW w:type="dxa" w:w="5040"/>
            <w:vAlign w:val="center"/>
          </w:tcPr>
          <w:p>
            <w:r/>
            <w:r>
              <w:rPr>
                <w:b w:val="0"/>
                <w:sz w:val="18"/>
              </w:rPr>
              <w:t>Local DB</w:t>
            </w:r>
          </w:p>
        </w:tc>
        <w:tc>
          <w:tcPr>
            <w:tcW w:type="dxa" w:w="5040"/>
            <w:vAlign w:val="center"/>
          </w:tcPr>
          <w:p>
            <w:r/>
            <w:r>
              <w:rPr>
                <w:b w:val="0"/>
                <w:sz w:val="18"/>
              </w:rPr>
              <w:t>SQLite</w:t>
            </w:r>
          </w:p>
        </w:tc>
      </w:tr>
      <w:tr>
        <w:tc>
          <w:tcPr>
            <w:tcW w:type="dxa" w:w="5040"/>
            <w:vAlign w:val="center"/>
          </w:tcPr>
          <w:p>
            <w:r/>
            <w:r>
              <w:rPr>
                <w:b w:val="0"/>
                <w:sz w:val="18"/>
              </w:rPr>
              <w:t>CI DB</w:t>
            </w:r>
          </w:p>
        </w:tc>
        <w:tc>
          <w:tcPr>
            <w:tcW w:type="dxa" w:w="5040"/>
            <w:vAlign w:val="center"/>
          </w:tcPr>
          <w:p>
            <w:r/>
            <w:r>
              <w:rPr>
                <w:b w:val="0"/>
                <w:sz w:val="18"/>
              </w:rPr>
              <w:t>PostgreSQL</w:t>
            </w:r>
          </w:p>
        </w:tc>
      </w:tr>
      <w:tr>
        <w:tc>
          <w:tcPr>
            <w:tcW w:type="dxa" w:w="5040"/>
            <w:vAlign w:val="center"/>
          </w:tcPr>
          <w:p>
            <w:r/>
            <w:r>
              <w:rPr>
                <w:b w:val="0"/>
                <w:sz w:val="18"/>
              </w:rPr>
              <w:t>Staging DB</w:t>
            </w:r>
          </w:p>
        </w:tc>
        <w:tc>
          <w:tcPr>
            <w:tcW w:type="dxa" w:w="5040"/>
            <w:vAlign w:val="center"/>
          </w:tcPr>
          <w:p>
            <w:r/>
            <w:r>
              <w:rPr>
                <w:b w:val="0"/>
                <w:sz w:val="18"/>
              </w:rPr>
              <w:t>PostgreSQL</w:t>
            </w:r>
          </w:p>
        </w:tc>
      </w:tr>
      <w:tr>
        <w:tc>
          <w:tcPr>
            <w:tcW w:type="dxa" w:w="5040"/>
            <w:vAlign w:val="center"/>
          </w:tcPr>
          <w:p>
            <w:r/>
            <w:r>
              <w:rPr>
                <w:b w:val="0"/>
                <w:sz w:val="18"/>
              </w:rPr>
              <w:t>Production DB</w:t>
            </w:r>
          </w:p>
        </w:tc>
        <w:tc>
          <w:tcPr>
            <w:tcW w:type="dxa" w:w="5040"/>
            <w:vAlign w:val="center"/>
          </w:tcPr>
          <w:p>
            <w:r/>
            <w:r>
              <w:rPr>
                <w:b w:val="0"/>
                <w:sz w:val="18"/>
              </w:rPr>
              <w:t>PostgreSQL</w:t>
            </w:r>
          </w:p>
        </w:tc>
      </w:tr>
      <w:tr>
        <w:tc>
          <w:tcPr>
            <w:tcW w:type="dxa" w:w="5040"/>
            <w:vAlign w:val="center"/>
          </w:tcPr>
          <w:p>
            <w:r/>
            <w:r>
              <w:rPr>
                <w:b w:val="0"/>
                <w:sz w:val="18"/>
              </w:rPr>
              <w:t>Production architecture</w:t>
            </w:r>
          </w:p>
        </w:tc>
        <w:tc>
          <w:tcPr>
            <w:tcW w:type="dxa" w:w="5040"/>
            <w:vAlign w:val="center"/>
          </w:tcPr>
          <w:p>
            <w:r/>
            <w:r>
              <w:rPr>
                <w:b w:val="0"/>
                <w:sz w:val="18"/>
              </w:rPr>
              <w:t>Database-per-tenant</w:t>
            </w:r>
          </w:p>
        </w:tc>
      </w:tr>
      <w:tr>
        <w:tc>
          <w:tcPr>
            <w:tcW w:type="dxa" w:w="5040"/>
            <w:vAlign w:val="center"/>
          </w:tcPr>
          <w:p>
            <w:r/>
            <w:r>
              <w:rPr>
                <w:b w:val="0"/>
                <w:sz w:val="18"/>
              </w:rPr>
              <w:t>Local tenant simulation</w:t>
            </w:r>
          </w:p>
        </w:tc>
        <w:tc>
          <w:tcPr>
            <w:tcW w:type="dxa" w:w="5040"/>
            <w:vAlign w:val="center"/>
          </w:tcPr>
          <w:p>
            <w:r/>
            <w:r>
              <w:rPr>
                <w:b w:val="0"/>
                <w:sz w:val="18"/>
              </w:rPr>
              <w:t>Separate SQLite files</w:t>
            </w:r>
          </w:p>
        </w:tc>
      </w:tr>
      <w:tr>
        <w:tc>
          <w:tcPr>
            <w:tcW w:type="dxa" w:w="5040"/>
            <w:vAlign w:val="center"/>
          </w:tcPr>
          <w:p>
            <w:r/>
            <w:r>
              <w:rPr>
                <w:b w:val="0"/>
                <w:sz w:val="18"/>
              </w:rPr>
              <w:t>Migrations</w:t>
            </w:r>
          </w:p>
        </w:tc>
        <w:tc>
          <w:tcPr>
            <w:tcW w:type="dxa" w:w="5040"/>
            <w:vAlign w:val="center"/>
          </w:tcPr>
          <w:p>
            <w:r/>
            <w:r>
              <w:rPr>
                <w:b w:val="0"/>
                <w:sz w:val="18"/>
              </w:rPr>
              <w:t>EF Core, version-controlled</w:t>
            </w:r>
          </w:p>
        </w:tc>
      </w:tr>
      <w:tr>
        <w:tc>
          <w:tcPr>
            <w:tcW w:type="dxa" w:w="5040"/>
            <w:vAlign w:val="center"/>
          </w:tcPr>
          <w:p>
            <w:r/>
            <w:r>
              <w:rPr>
                <w:b w:val="0"/>
                <w:sz w:val="18"/>
              </w:rPr>
              <w:t>Domain dependency</w:t>
            </w:r>
          </w:p>
        </w:tc>
        <w:tc>
          <w:tcPr>
            <w:tcW w:type="dxa" w:w="5040"/>
            <w:vAlign w:val="center"/>
          </w:tcPr>
          <w:p>
            <w:r/>
            <w:r>
              <w:rPr>
                <w:b w:val="0"/>
                <w:sz w:val="18"/>
              </w:rPr>
              <w:t>Database-provider independent</w:t>
            </w:r>
          </w:p>
        </w:tc>
      </w:tr>
      <w:tr>
        <w:tc>
          <w:tcPr>
            <w:tcW w:type="dxa" w:w="5040"/>
            <w:vAlign w:val="center"/>
          </w:tcPr>
          <w:p>
            <w:r/>
            <w:r>
              <w:rPr>
                <w:b w:val="0"/>
                <w:sz w:val="18"/>
              </w:rPr>
              <w:t>PostgreSQL-specific features</w:t>
            </w:r>
          </w:p>
        </w:tc>
        <w:tc>
          <w:tcPr>
            <w:tcW w:type="dxa" w:w="5040"/>
            <w:vAlign w:val="center"/>
          </w:tcPr>
          <w:p>
            <w:r/>
            <w:r>
              <w:rPr>
                <w:b w:val="0"/>
                <w:sz w:val="18"/>
              </w:rPr>
              <w:t>Allowed with documented ADR where architecturally significant</w:t>
            </w:r>
          </w:p>
        </w:tc>
      </w:tr>
      <w:tr>
        <w:tc>
          <w:tcPr>
            <w:tcW w:type="dxa" w:w="5040"/>
            <w:vAlign w:val="center"/>
          </w:tcPr>
          <w:p>
            <w:r/>
            <w:r>
              <w:rPr>
                <w:b w:val="0"/>
                <w:sz w:val="18"/>
              </w:rPr>
              <w:t>Raw SQL</w:t>
            </w:r>
          </w:p>
        </w:tc>
        <w:tc>
          <w:tcPr>
            <w:tcW w:type="dxa" w:w="5040"/>
            <w:vAlign w:val="center"/>
          </w:tcPr>
          <w:p>
            <w:r/>
            <w:r>
              <w:rPr>
                <w:b w:val="0"/>
                <w:sz w:val="18"/>
              </w:rPr>
              <w:t>Selective, justified, tested</w:t>
            </w:r>
          </w:p>
        </w:tc>
      </w:tr>
      <w:tr>
        <w:tc>
          <w:tcPr>
            <w:tcW w:type="dxa" w:w="5040"/>
            <w:vAlign w:val="center"/>
          </w:tcPr>
          <w:p>
            <w:r/>
            <w:r>
              <w:rPr>
                <w:b w:val="0"/>
                <w:sz w:val="18"/>
              </w:rPr>
              <w:t>Orchestration</w:t>
            </w:r>
          </w:p>
        </w:tc>
        <w:tc>
          <w:tcPr>
            <w:tcW w:type="dxa" w:w="5040"/>
            <w:vAlign w:val="center"/>
          </w:tcPr>
          <w:p>
            <w:r/>
            <w:r>
              <w:rPr>
                <w:b w:val="0"/>
                <w:sz w:val="18"/>
              </w:rPr>
              <w:t>DevWeave</w:t>
            </w:r>
          </w:p>
        </w:tc>
      </w:tr>
      <w:tr>
        <w:tc>
          <w:tcPr>
            <w:tcW w:type="dxa" w:w="5040"/>
            <w:vAlign w:val="center"/>
          </w:tcPr>
          <w:p>
            <w:r/>
            <w:r>
              <w:rPr>
                <w:b w:val="0"/>
                <w:sz w:val="18"/>
              </w:rPr>
              <w:t>Execution host</w:t>
            </w:r>
          </w:p>
        </w:tc>
        <w:tc>
          <w:tcPr>
            <w:tcW w:type="dxa" w:w="5040"/>
            <w:vAlign w:val="center"/>
          </w:tcPr>
          <w:p>
            <w:r/>
            <w:r>
              <w:rPr>
                <w:b w:val="0"/>
                <w:sz w:val="18"/>
              </w:rPr>
              <w:t>Google Antigravity</w:t>
            </w:r>
          </w:p>
        </w:tc>
      </w:tr>
    </w:tbl>
    <w:p/>
    <w:p>
      <w:pPr>
        <w:jc w:val="center"/>
      </w:pPr>
      <w:r>
        <w:rPr>
          <w:b/>
          <w:sz w:val="18"/>
        </w:rPr>
        <w:t>VetFlow / DevWeave — Final Database Strategy v1.0</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