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VetFlow — Documentation Index &amp; Requirements Traceability v1.0</w:t>
      </w:r>
    </w:p>
    <w:p>
      <w:pPr>
        <w:jc w:val="center"/>
      </w:pPr>
      <w:r>
        <w:rPr>
          <w:i/>
        </w:rPr>
        <w:t>VetFlow | Final Specification | Version 1.0</w:t>
      </w:r>
    </w:p>
    <w:p>
      <w:pPr>
        <w:jc w:val="center"/>
      </w:pPr>
      <w:r>
        <w:rPr>
          <w:b/>
        </w:rPr>
        <w:t>Open-source-first Veterinary Practice Management SaaS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Baseline / implementation-ready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VetFlow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Multi-tenant SaaS • Database-per-tenant • Modular Monolith</w:t>
            </w:r>
          </w:p>
        </w:tc>
      </w:tr>
      <w:tr>
        <w:tc>
          <w:tcPr>
            <w:tcW w:type="dxa" w:w="5040"/>
          </w:tcPr>
          <w:p>
            <w:r>
              <w:t>Primary stack</w:t>
            </w:r>
          </w:p>
        </w:tc>
        <w:tc>
          <w:tcPr>
            <w:tcW w:type="dxa" w:w="5040"/>
          </w:tcPr>
          <w:p>
            <w:r>
              <w:t>Angular PWA • ASP.NET Core/.NET 10 • PostgreSQL • Keycloak</w:t>
            </w:r>
          </w:p>
        </w:tc>
      </w:tr>
      <w:tr>
        <w:tc>
          <w:tcPr>
            <w:tcW w:type="dxa" w:w="5040"/>
          </w:tcPr>
          <w:p>
            <w:r>
              <w:t>Principle</w:t>
            </w:r>
          </w:p>
        </w:tc>
        <w:tc>
          <w:tcPr>
            <w:tcW w:type="dxa" w:w="5040"/>
          </w:tcPr>
          <w:p>
            <w:r>
              <w:t>Business-workflow-first; open-source-first; avoid premature abstraction</w:t>
            </w:r>
          </w:p>
        </w:tc>
      </w:tr>
    </w:tbl>
    <w:p>
      <w:r>
        <w:br w:type="page"/>
      </w:r>
    </w:p>
    <w:p>
      <w:pPr>
        <w:pStyle w:val="Heading1"/>
      </w:pPr>
      <w:r>
        <w:t>1. Final Document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Primary audience</w:t>
            </w:r>
          </w:p>
        </w:tc>
      </w:tr>
      <w:tr>
        <w:tc>
          <w:tcPr>
            <w:tcW w:type="dxa" w:w="3360"/>
          </w:tcPr>
          <w:p>
            <w:r>
              <w:t>BRD</w:t>
            </w:r>
          </w:p>
        </w:tc>
        <w:tc>
          <w:tcPr>
            <w:tcW w:type="dxa" w:w="3360"/>
          </w:tcPr>
          <w:p>
            <w:r>
              <w:t>Business vision, scope, stakeholders, business rules, objectives</w:t>
            </w:r>
          </w:p>
        </w:tc>
        <w:tc>
          <w:tcPr>
            <w:tcW w:type="dxa" w:w="3360"/>
          </w:tcPr>
          <w:p>
            <w:r>
              <w:t>Business/Product</w:t>
            </w:r>
          </w:p>
        </w:tc>
      </w:tr>
      <w:tr>
        <w:tc>
          <w:tcPr>
            <w:tcW w:type="dxa" w:w="3360"/>
          </w:tcPr>
          <w:p>
            <w:r>
              <w:t>PRD</w:t>
            </w:r>
          </w:p>
        </w:tc>
        <w:tc>
          <w:tcPr>
            <w:tcW w:type="dxa" w:w="3360"/>
          </w:tcPr>
          <w:p>
            <w:r>
              <w:t>Features, workflows, UX, acceptance criteria, release plan</w:t>
            </w:r>
          </w:p>
        </w:tc>
        <w:tc>
          <w:tcPr>
            <w:tcW w:type="dxa" w:w="3360"/>
          </w:tcPr>
          <w:p>
            <w:r>
              <w:t>Product/Engineering/QA</w:t>
            </w:r>
          </w:p>
        </w:tc>
      </w:tr>
      <w:tr>
        <w:tc>
          <w:tcPr>
            <w:tcW w:type="dxa" w:w="3360"/>
          </w:tcPr>
          <w:p>
            <w:r>
              <w:t>SDD</w:t>
            </w:r>
          </w:p>
        </w:tc>
        <w:tc>
          <w:tcPr>
            <w:tcW w:type="dxa" w:w="3360"/>
          </w:tcPr>
          <w:p>
            <w:r>
              <w:t>System architecture, components, security, tenancy, deployment</w:t>
            </w:r>
          </w:p>
        </w:tc>
        <w:tc>
          <w:tcPr>
            <w:tcW w:type="dxa" w:w="3360"/>
          </w:tcPr>
          <w:p>
            <w:r>
              <w:t>Architecture/Engineering</w:t>
            </w:r>
          </w:p>
        </w:tc>
      </w:tr>
      <w:tr>
        <w:tc>
          <w:tcPr>
            <w:tcW w:type="dxa" w:w="3360"/>
          </w:tcPr>
          <w:p>
            <w:r>
              <w:t>Database &amp; Domain Design</w:t>
            </w:r>
          </w:p>
        </w:tc>
        <w:tc>
          <w:tcPr>
            <w:tcW w:type="dxa" w:w="3360"/>
          </w:tcPr>
          <w:p>
            <w:r>
              <w:t>Entities, relationships, metadata, integrity, seed strategy</w:t>
            </w:r>
          </w:p>
        </w:tc>
        <w:tc>
          <w:tcPr>
            <w:tcW w:type="dxa" w:w="3360"/>
          </w:tcPr>
          <w:p>
            <w:r>
              <w:t>Backend/Data</w:t>
            </w:r>
          </w:p>
        </w:tc>
      </w:tr>
      <w:tr>
        <w:tc>
          <w:tcPr>
            <w:tcW w:type="dxa" w:w="3360"/>
          </w:tcPr>
          <w:p>
            <w:r>
              <w:t>Business Workflows &amp; Rules</w:t>
            </w:r>
          </w:p>
        </w:tc>
        <w:tc>
          <w:tcPr>
            <w:tcW w:type="dxa" w:w="3360"/>
          </w:tcPr>
          <w:p>
            <w:r>
              <w:t>Detailed veterinary operational workflows and state/rule definitions</w:t>
            </w:r>
          </w:p>
        </w:tc>
        <w:tc>
          <w:tcPr>
            <w:tcW w:type="dxa" w:w="3360"/>
          </w:tcPr>
          <w:p>
            <w:r>
              <w:t>Product/Clinical/Engineering/QA</w:t>
            </w:r>
          </w:p>
        </w:tc>
      </w:tr>
      <w:tr>
        <w:tc>
          <w:tcPr>
            <w:tcW w:type="dxa" w:w="3360"/>
          </w:tcPr>
          <w:p>
            <w:r>
              <w:t>API, Security &amp; Integration</w:t>
            </w:r>
          </w:p>
        </w:tc>
        <w:tc>
          <w:tcPr>
            <w:tcW w:type="dxa" w:w="3360"/>
          </w:tcPr>
          <w:p>
            <w:r>
              <w:t>API surface, commands, portal boundary, security and integrations</w:t>
            </w:r>
          </w:p>
        </w:tc>
        <w:tc>
          <w:tcPr>
            <w:tcW w:type="dxa" w:w="3360"/>
          </w:tcPr>
          <w:p>
            <w:r>
              <w:t>Backend/Frontend/Integration</w:t>
            </w:r>
          </w:p>
        </w:tc>
      </w:tr>
      <w:tr>
        <w:tc>
          <w:tcPr>
            <w:tcW w:type="dxa" w:w="3360"/>
          </w:tcPr>
          <w:p>
            <w:r>
              <w:t>Implementation, DevOps &amp; Operations</w:t>
            </w:r>
          </w:p>
        </w:tc>
        <w:tc>
          <w:tcPr>
            <w:tcW w:type="dxa" w:w="3360"/>
          </w:tcPr>
          <w:p>
            <w:r>
              <w:t>Repository, CI/CD, migrations, backup, monitoring, operations</w:t>
            </w:r>
          </w:p>
        </w:tc>
        <w:tc>
          <w:tcPr>
            <w:tcW w:type="dxa" w:w="3360"/>
          </w:tcPr>
          <w:p>
            <w:r>
              <w:t>Engineering/DevOps</w:t>
            </w:r>
          </w:p>
        </w:tc>
      </w:tr>
      <w:tr>
        <w:tc>
          <w:tcPr>
            <w:tcW w:type="dxa" w:w="3360"/>
          </w:tcPr>
          <w:p>
            <w:r>
              <w:t>AI Readiness</w:t>
            </w:r>
          </w:p>
        </w:tc>
        <w:tc>
          <w:tcPr>
            <w:tcW w:type="dxa" w:w="3360"/>
          </w:tcPr>
          <w:p>
            <w:r>
              <w:t>Future AI capabilities and safety architecture</w:t>
            </w:r>
          </w:p>
        </w:tc>
        <w:tc>
          <w:tcPr>
            <w:tcW w:type="dxa" w:w="3360"/>
          </w:tcPr>
          <w:p>
            <w:r>
              <w:t>AI/Architecture/Product</w:t>
            </w:r>
          </w:p>
        </w:tc>
      </w:tr>
    </w:tbl>
    <w:p>
      <w:pPr>
        <w:pStyle w:val="Heading1"/>
      </w:pPr>
      <w:r>
        <w:t>2. Requirement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Business requirement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PRD area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SDD area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DB/domain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Workflow/API</w:t>
            </w:r>
          </w:p>
        </w:tc>
      </w:tr>
      <w:tr>
        <w:tc>
          <w:tcPr>
            <w:tcW w:type="dxa" w:w="2016"/>
          </w:tcPr>
          <w:p>
            <w:r>
              <w:t>Tenant isolation</w:t>
            </w:r>
          </w:p>
        </w:tc>
        <w:tc>
          <w:tcPr>
            <w:tcW w:type="dxa" w:w="2016"/>
          </w:tcPr>
          <w:p>
            <w:r>
              <w:t>Tenant administration</w:t>
            </w:r>
          </w:p>
        </w:tc>
        <w:tc>
          <w:tcPr>
            <w:tcW w:type="dxa" w:w="2016"/>
          </w:tcPr>
          <w:p>
            <w:r>
              <w:t>Multi-tenancy/Security</w:t>
            </w:r>
          </w:p>
        </w:tc>
        <w:tc>
          <w:tcPr>
            <w:tcW w:type="dxa" w:w="2016"/>
          </w:tcPr>
          <w:p>
            <w:r>
              <w:t>Platform/Tenant DB</w:t>
            </w:r>
          </w:p>
        </w:tc>
        <w:tc>
          <w:tcPr>
            <w:tcW w:type="dxa" w:w="2016"/>
          </w:tcPr>
          <w:p>
            <w:r>
              <w:t>Tenant APIs</w:t>
            </w:r>
          </w:p>
        </w:tc>
      </w:tr>
      <w:tr>
        <w:tc>
          <w:tcPr>
            <w:tcW w:type="dxa" w:w="2016"/>
          </w:tcPr>
          <w:p>
            <w:r>
              <w:t>Identity</w:t>
            </w:r>
          </w:p>
        </w:tc>
        <w:tc>
          <w:tcPr>
            <w:tcW w:type="dxa" w:w="2016"/>
          </w:tcPr>
          <w:p>
            <w:r>
              <w:t>Users/Roles</w:t>
            </w:r>
          </w:p>
        </w:tc>
        <w:tc>
          <w:tcPr>
            <w:tcW w:type="dxa" w:w="2016"/>
          </w:tcPr>
          <w:p>
            <w:r>
              <w:t>Keycloak</w:t>
            </w:r>
          </w:p>
        </w:tc>
        <w:tc>
          <w:tcPr>
            <w:tcW w:type="dxa" w:w="2016"/>
          </w:tcPr>
          <w:p>
            <w:r>
              <w:t>User/role mapping</w:t>
            </w:r>
          </w:p>
        </w:tc>
        <w:tc>
          <w:tcPr>
            <w:tcW w:type="dxa" w:w="2016"/>
          </w:tcPr>
          <w:p>
            <w:r>
              <w:t>Auth endpoints</w:t>
            </w:r>
          </w:p>
        </w:tc>
      </w:tr>
      <w:tr>
        <w:tc>
          <w:tcPr>
            <w:tcW w:type="dxa" w:w="2016"/>
          </w:tcPr>
          <w:p>
            <w:r>
              <w:t>Client/patient journey</w:t>
            </w:r>
          </w:p>
        </w:tc>
        <w:tc>
          <w:tcPr>
            <w:tcW w:type="dxa" w:w="2016"/>
          </w:tcPr>
          <w:p>
            <w:r>
              <w:t>Clients/Animals/Clinical</w:t>
            </w:r>
          </w:p>
        </w:tc>
        <w:tc>
          <w:tcPr>
            <w:tcW w:type="dxa" w:w="2016"/>
          </w:tcPr>
          <w:p>
            <w:r>
              <w:t>Modules</w:t>
            </w:r>
          </w:p>
        </w:tc>
        <w:tc>
          <w:tcPr>
            <w:tcW w:type="dxa" w:w="2016"/>
          </w:tcPr>
          <w:p>
            <w:r>
              <w:t>Client/Animal/Encounter</w:t>
            </w:r>
          </w:p>
        </w:tc>
        <w:tc>
          <w:tcPr>
            <w:tcW w:type="dxa" w:w="2016"/>
          </w:tcPr>
          <w:p>
            <w:r>
              <w:t>Workflow APIs</w:t>
            </w:r>
          </w:p>
        </w:tc>
      </w:tr>
      <w:tr>
        <w:tc>
          <w:tcPr>
            <w:tcW w:type="dxa" w:w="2016"/>
          </w:tcPr>
          <w:p>
            <w:r>
              <w:t>Scheduling</w:t>
            </w:r>
          </w:p>
        </w:tc>
        <w:tc>
          <w:tcPr>
            <w:tcW w:type="dxa" w:w="2016"/>
          </w:tcPr>
          <w:p>
            <w:r>
              <w:t>Appointments</w:t>
            </w:r>
          </w:p>
        </w:tc>
        <w:tc>
          <w:tcPr>
            <w:tcW w:type="dxa" w:w="2016"/>
          </w:tcPr>
          <w:p>
            <w:r>
              <w:t>Scheduling module</w:t>
            </w:r>
          </w:p>
        </w:tc>
        <w:tc>
          <w:tcPr>
            <w:tcW w:type="dxa" w:w="2016"/>
          </w:tcPr>
          <w:p>
            <w:r>
              <w:t>Appointment</w:t>
            </w:r>
          </w:p>
        </w:tc>
        <w:tc>
          <w:tcPr>
            <w:tcW w:type="dxa" w:w="2016"/>
          </w:tcPr>
          <w:p>
            <w:r>
              <w:t>Check-in/reschedule commands</w:t>
            </w:r>
          </w:p>
        </w:tc>
      </w:tr>
      <w:tr>
        <w:tc>
          <w:tcPr>
            <w:tcW w:type="dxa" w:w="2016"/>
          </w:tcPr>
          <w:p>
            <w:r>
              <w:t>Clinical safety</w:t>
            </w:r>
          </w:p>
        </w:tc>
        <w:tc>
          <w:tcPr>
            <w:tcW w:type="dxa" w:w="2016"/>
          </w:tcPr>
          <w:p>
            <w:r>
              <w:t>Clinical</w:t>
            </w:r>
          </w:p>
        </w:tc>
        <w:tc>
          <w:tcPr>
            <w:tcW w:type="dxa" w:w="2016"/>
          </w:tcPr>
          <w:p>
            <w:r>
              <w:t>Domain/transactions</w:t>
            </w:r>
          </w:p>
        </w:tc>
        <w:tc>
          <w:tcPr>
            <w:tcW w:type="dxa" w:w="2016"/>
          </w:tcPr>
          <w:p>
            <w:r>
              <w:t>Encounter/Diagnosis/Treatment</w:t>
            </w:r>
          </w:p>
        </w:tc>
        <w:tc>
          <w:tcPr>
            <w:tcW w:type="dxa" w:w="2016"/>
          </w:tcPr>
          <w:p>
            <w:r>
              <w:t>Complete/finalize</w:t>
            </w:r>
          </w:p>
        </w:tc>
      </w:tr>
      <w:tr>
        <w:tc>
          <w:tcPr>
            <w:tcW w:type="dxa" w:w="2016"/>
          </w:tcPr>
          <w:p>
            <w:r>
              <w:t>Vaccination</w:t>
            </w:r>
          </w:p>
        </w:tc>
        <w:tc>
          <w:tcPr>
            <w:tcW w:type="dxa" w:w="2016"/>
          </w:tcPr>
          <w:p>
            <w:r>
              <w:t>Vaccination</w:t>
            </w:r>
          </w:p>
        </w:tc>
        <w:tc>
          <w:tcPr>
            <w:tcW w:type="dxa" w:w="2016"/>
          </w:tcPr>
          <w:p>
            <w:r>
              <w:t>Clinical/document architecture</w:t>
            </w:r>
          </w:p>
        </w:tc>
        <w:tc>
          <w:tcPr>
            <w:tcW w:type="dxa" w:w="2016"/>
          </w:tcPr>
          <w:p>
            <w:r>
              <w:t>Vaccination/FollowUp</w:t>
            </w:r>
          </w:p>
        </w:tc>
        <w:tc>
          <w:tcPr>
            <w:tcW w:type="dxa" w:w="2016"/>
          </w:tcPr>
          <w:p>
            <w:r>
              <w:t>Finalize/certificate</w:t>
            </w:r>
          </w:p>
        </w:tc>
      </w:tr>
      <w:tr>
        <w:tc>
          <w:tcPr>
            <w:tcW w:type="dxa" w:w="2016"/>
          </w:tcPr>
          <w:p>
            <w:r>
              <w:t>Diagnostics</w:t>
            </w:r>
          </w:p>
        </w:tc>
        <w:tc>
          <w:tcPr>
            <w:tcW w:type="dxa" w:w="2016"/>
          </w:tcPr>
          <w:p>
            <w:r>
              <w:t>Diagnostics</w:t>
            </w:r>
          </w:p>
        </w:tc>
        <w:tc>
          <w:tcPr>
            <w:tcW w:type="dxa" w:w="2016"/>
          </w:tcPr>
          <w:p>
            <w:r>
              <w:t>Diagnostics module</w:t>
            </w:r>
          </w:p>
        </w:tc>
        <w:tc>
          <w:tcPr>
            <w:tcW w:type="dxa" w:w="2016"/>
          </w:tcPr>
          <w:p>
            <w:r>
              <w:t>Diagnostic entities</w:t>
            </w:r>
          </w:p>
        </w:tc>
        <w:tc>
          <w:tcPr>
            <w:tcW w:type="dxa" w:w="2016"/>
          </w:tcPr>
          <w:p>
            <w:r>
              <w:t>Collect/review</w:t>
            </w:r>
          </w:p>
        </w:tc>
      </w:tr>
      <w:tr>
        <w:tc>
          <w:tcPr>
            <w:tcW w:type="dxa" w:w="2016"/>
          </w:tcPr>
          <w:p>
            <w:r>
              <w:t>Billing</w:t>
            </w:r>
          </w:p>
        </w:tc>
        <w:tc>
          <w:tcPr>
            <w:tcW w:type="dxa" w:w="2016"/>
          </w:tcPr>
          <w:p>
            <w:r>
              <w:t>Billing</w:t>
            </w:r>
          </w:p>
        </w:tc>
        <w:tc>
          <w:tcPr>
            <w:tcW w:type="dxa" w:w="2016"/>
          </w:tcPr>
          <w:p>
            <w:r>
              <w:t>Billing module</w:t>
            </w:r>
          </w:p>
        </w:tc>
        <w:tc>
          <w:tcPr>
            <w:tcW w:type="dxa" w:w="2016"/>
          </w:tcPr>
          <w:p>
            <w:r>
              <w:t>Invoice/Payment/Refund</w:t>
            </w:r>
          </w:p>
        </w:tc>
        <w:tc>
          <w:tcPr>
            <w:tcW w:type="dxa" w:w="2016"/>
          </w:tcPr>
          <w:p>
            <w:r>
              <w:t>Issue/pay/refund</w:t>
            </w:r>
          </w:p>
        </w:tc>
      </w:tr>
      <w:tr>
        <w:tc>
          <w:tcPr>
            <w:tcW w:type="dxa" w:w="2016"/>
          </w:tcPr>
          <w:p>
            <w:r>
              <w:t>Inventory</w:t>
            </w:r>
          </w:p>
        </w:tc>
        <w:tc>
          <w:tcPr>
            <w:tcW w:type="dxa" w:w="2016"/>
          </w:tcPr>
          <w:p>
            <w:r>
              <w:t>Inventory/Pharmacy</w:t>
            </w:r>
          </w:p>
        </w:tc>
        <w:tc>
          <w:tcPr>
            <w:tcW w:type="dxa" w:w="2016"/>
          </w:tcPr>
          <w:p>
            <w:r>
              <w:t>Inventory module</w:t>
            </w:r>
          </w:p>
        </w:tc>
        <w:tc>
          <w:tcPr>
            <w:tcW w:type="dxa" w:w="2016"/>
          </w:tcPr>
          <w:p>
            <w:r>
              <w:t>Product/Batch/Transactions</w:t>
            </w:r>
          </w:p>
        </w:tc>
        <w:tc>
          <w:tcPr>
            <w:tcW w:type="dxa" w:w="2016"/>
          </w:tcPr>
          <w:p>
            <w:r>
              <w:t>Dispense</w:t>
            </w:r>
          </w:p>
        </w:tc>
      </w:tr>
      <w:tr>
        <w:tc>
          <w:tcPr>
            <w:tcW w:type="dxa" w:w="2016"/>
          </w:tcPr>
          <w:p>
            <w:r>
              <w:t>Documents</w:t>
            </w:r>
          </w:p>
        </w:tc>
        <w:tc>
          <w:tcPr>
            <w:tcW w:type="dxa" w:w="2016"/>
          </w:tcPr>
          <w:p>
            <w:r>
              <w:t>Documents</w:t>
            </w:r>
          </w:p>
        </w:tc>
        <w:tc>
          <w:tcPr>
            <w:tcW w:type="dxa" w:w="2016"/>
          </w:tcPr>
          <w:p>
            <w:r>
              <w:t>Document architecture</w:t>
            </w:r>
          </w:p>
        </w:tc>
        <w:tc>
          <w:tcPr>
            <w:tcW w:type="dxa" w:w="2016"/>
          </w:tcPr>
          <w:p>
            <w:r>
              <w:t>PatientDocument</w:t>
            </w:r>
          </w:p>
        </w:tc>
        <w:tc>
          <w:tcPr>
            <w:tcW w:type="dxa" w:w="2016"/>
          </w:tcPr>
          <w:p>
            <w:r>
              <w:t>PDF/download/print</w:t>
            </w:r>
          </w:p>
        </w:tc>
      </w:tr>
      <w:tr>
        <w:tc>
          <w:tcPr>
            <w:tcW w:type="dxa" w:w="2016"/>
          </w:tcPr>
          <w:p>
            <w:r>
              <w:t>Portal security</w:t>
            </w:r>
          </w:p>
        </w:tc>
        <w:tc>
          <w:tcPr>
            <w:tcW w:type="dxa" w:w="2016"/>
          </w:tcPr>
          <w:p>
            <w:r>
              <w:t>Client Portal</w:t>
            </w:r>
          </w:p>
        </w:tc>
        <w:tc>
          <w:tcPr>
            <w:tcW w:type="dxa" w:w="2016"/>
          </w:tcPr>
          <w:p>
            <w:r>
              <w:t>Portal boundary/security</w:t>
            </w:r>
          </w:p>
        </w:tc>
        <w:tc>
          <w:tcPr>
            <w:tcW w:type="dxa" w:w="2016"/>
          </w:tcPr>
          <w:p>
            <w:r>
              <w:t>Portal account/access</w:t>
            </w:r>
          </w:p>
        </w:tc>
        <w:tc>
          <w:tcPr>
            <w:tcW w:type="dxa" w:w="2016"/>
          </w:tcPr>
          <w:p>
            <w:r>
              <w:t>/api/portal/*</w:t>
            </w:r>
          </w:p>
        </w:tc>
      </w:tr>
      <w:tr>
        <w:tc>
          <w:tcPr>
            <w:tcW w:type="dxa" w:w="2016"/>
          </w:tcPr>
          <w:p>
            <w:r>
              <w:t>Audit</w:t>
            </w:r>
          </w:p>
        </w:tc>
        <w:tc>
          <w:tcPr>
            <w:tcW w:type="dxa" w:w="2016"/>
          </w:tcPr>
          <w:p>
            <w:r>
              <w:t>Audit</w:t>
            </w:r>
          </w:p>
        </w:tc>
        <w:tc>
          <w:tcPr>
            <w:tcW w:type="dxa" w:w="2016"/>
          </w:tcPr>
          <w:p>
            <w:r>
              <w:t>Audit module</w:t>
            </w:r>
          </w:p>
        </w:tc>
        <w:tc>
          <w:tcPr>
            <w:tcW w:type="dxa" w:w="2016"/>
          </w:tcPr>
          <w:p>
            <w:r>
              <w:t>Audit</w:t>
            </w:r>
          </w:p>
        </w:tc>
        <w:tc>
          <w:tcPr>
            <w:tcW w:type="dxa" w:w="2016"/>
          </w:tcPr>
          <w:p>
            <w:r>
              <w:t>Sensitive commands</w:t>
            </w:r>
          </w:p>
        </w:tc>
      </w:tr>
      <w:tr>
        <w:tc>
          <w:tcPr>
            <w:tcW w:type="dxa" w:w="2016"/>
          </w:tcPr>
          <w:p>
            <w:r>
              <w:t>Future AI</w:t>
            </w:r>
          </w:p>
        </w:tc>
        <w:tc>
          <w:tcPr>
            <w:tcW w:type="dxa" w:w="2016"/>
          </w:tcPr>
          <w:p>
            <w:r>
              <w:t>AI readiness</w:t>
            </w:r>
          </w:p>
        </w:tc>
        <w:tc>
          <w:tcPr>
            <w:tcW w:type="dxa" w:w="2016"/>
          </w:tcPr>
          <w:p>
            <w:r>
              <w:t>AI architecture</w:t>
            </w:r>
          </w:p>
        </w:tc>
        <w:tc>
          <w:tcPr>
            <w:tcW w:type="dxa" w:w="2016"/>
          </w:tcPr>
          <w:p>
            <w:r>
              <w:t>Structured event/data foundation</w:t>
            </w:r>
          </w:p>
        </w:tc>
        <w:tc>
          <w:tcPr>
            <w:tcW w:type="dxa" w:w="2016"/>
          </w:tcPr>
          <w:p>
            <w:r>
              <w:t>Normal command write-back</w:t>
            </w:r>
          </w:p>
        </w:tc>
      </w:tr>
    </w:tbl>
    <w:p>
      <w:pPr>
        <w:pStyle w:val="Heading1"/>
      </w:pPr>
      <w:r>
        <w:t>3. Architecture Decision Records —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360"/>
          </w:tcPr>
          <w:p>
            <w:r>
              <w:t>ADR-001</w:t>
            </w:r>
          </w:p>
        </w:tc>
        <w:tc>
          <w:tcPr>
            <w:tcW w:type="dxa" w:w="3360"/>
          </w:tcPr>
          <w:p>
            <w:r>
              <w:t>Database-per-tenant</w:t>
            </w:r>
          </w:p>
        </w:tc>
        <w:tc>
          <w:tcPr>
            <w:tcW w:type="dxa" w:w="3360"/>
          </w:tcPr>
          <w:p>
            <w:r>
              <w:t>Chosen for operational isolation, tenant-level scaling and controlled data boundaries.</w:t>
            </w:r>
          </w:p>
        </w:tc>
      </w:tr>
      <w:tr>
        <w:tc>
          <w:tcPr>
            <w:tcW w:type="dxa" w:w="3360"/>
          </w:tcPr>
          <w:p>
            <w:r>
              <w:t>ADR-002</w:t>
            </w:r>
          </w:p>
        </w:tc>
        <w:tc>
          <w:tcPr>
            <w:tcW w:type="dxa" w:w="3360"/>
          </w:tcPr>
          <w:p>
            <w:r>
              <w:t>Central Platform DB</w:t>
            </w:r>
          </w:p>
        </w:tc>
        <w:tc>
          <w:tcPr>
            <w:tcW w:type="dxa" w:w="3360"/>
          </w:tcPr>
          <w:p>
            <w:r>
              <w:t>Chosen for tenant metadata, subscriptions and global reference metadata.</w:t>
            </w:r>
          </w:p>
        </w:tc>
      </w:tr>
      <w:tr>
        <w:tc>
          <w:tcPr>
            <w:tcW w:type="dxa" w:w="3360"/>
          </w:tcPr>
          <w:p>
            <w:r>
              <w:t>ADR-003</w:t>
            </w:r>
          </w:p>
        </w:tc>
        <w:tc>
          <w:tcPr>
            <w:tcW w:type="dxa" w:w="3360"/>
          </w:tcPr>
          <w:p>
            <w:r>
              <w:t>Keycloak</w:t>
            </w:r>
          </w:p>
        </w:tc>
        <w:tc>
          <w:tcPr>
            <w:tcW w:type="dxa" w:w="3360"/>
          </w:tcPr>
          <w:p>
            <w:r>
              <w:t>Chosen instead of building authentication from scratch.</w:t>
            </w:r>
          </w:p>
        </w:tc>
      </w:tr>
      <w:tr>
        <w:tc>
          <w:tcPr>
            <w:tcW w:type="dxa" w:w="3360"/>
          </w:tcPr>
          <w:p>
            <w:r>
              <w:t>ADR-004</w:t>
            </w:r>
          </w:p>
        </w:tc>
        <w:tc>
          <w:tcPr>
            <w:tcW w:type="dxa" w:w="3360"/>
          </w:tcPr>
          <w:p>
            <w:r>
              <w:t>Single Angular PWA</w:t>
            </w:r>
          </w:p>
        </w:tc>
        <w:tc>
          <w:tcPr>
            <w:tcW w:type="dxa" w:w="3360"/>
          </w:tcPr>
          <w:p>
            <w:r>
              <w:t>Chosen to avoid duplicate frontend code while providing route-separated experiences.</w:t>
            </w:r>
          </w:p>
        </w:tc>
      </w:tr>
      <w:tr>
        <w:tc>
          <w:tcPr>
            <w:tcW w:type="dxa" w:w="3360"/>
          </w:tcPr>
          <w:p>
            <w:r>
              <w:t>ADR-005</w:t>
            </w:r>
          </w:p>
        </w:tc>
        <w:tc>
          <w:tcPr>
            <w:tcW w:type="dxa" w:w="3360"/>
          </w:tcPr>
          <w:p>
            <w:r>
              <w:t>Modular monolith</w:t>
            </w:r>
          </w:p>
        </w:tc>
        <w:tc>
          <w:tcPr>
            <w:tcW w:type="dxa" w:w="3360"/>
          </w:tcPr>
          <w:p>
            <w:r>
              <w:t>Chosen to reduce distributed-system complexity in V1.</w:t>
            </w:r>
          </w:p>
        </w:tc>
      </w:tr>
      <w:tr>
        <w:tc>
          <w:tcPr>
            <w:tcW w:type="dxa" w:w="3360"/>
          </w:tcPr>
          <w:p>
            <w:r>
              <w:t>ADR-006</w:t>
            </w:r>
          </w:p>
        </w:tc>
        <w:tc>
          <w:tcPr>
            <w:tcW w:type="dxa" w:w="3360"/>
          </w:tcPr>
          <w:p>
            <w:r>
              <w:t>Transactional Outbox</w:t>
            </w:r>
          </w:p>
        </w:tc>
        <w:tc>
          <w:tcPr>
            <w:tcW w:type="dxa" w:w="3360"/>
          </w:tcPr>
          <w:p>
            <w:r>
              <w:t>Chosen for reliable future asynchronous integration without requiring a broker.</w:t>
            </w:r>
          </w:p>
        </w:tc>
      </w:tr>
      <w:tr>
        <w:tc>
          <w:tcPr>
            <w:tcW w:type="dxa" w:w="3360"/>
          </w:tcPr>
          <w:p>
            <w:r>
              <w:t>ADR-007</w:t>
            </w:r>
          </w:p>
        </w:tc>
        <w:tc>
          <w:tcPr>
            <w:tcW w:type="dxa" w:w="3360"/>
          </w:tcPr>
          <w:p>
            <w:r>
              <w:t>No Kafka/RabbitMQ in V1</w:t>
            </w:r>
          </w:p>
        </w:tc>
        <w:tc>
          <w:tcPr>
            <w:tcW w:type="dxa" w:w="3360"/>
          </w:tcPr>
          <w:p>
            <w:r>
              <w:t>Chosen because current workflows do not require a broker.</w:t>
            </w:r>
          </w:p>
        </w:tc>
      </w:tr>
      <w:tr>
        <w:tc>
          <w:tcPr>
            <w:tcW w:type="dxa" w:w="3360"/>
          </w:tcPr>
          <w:p>
            <w:r>
              <w:t>ADR-008</w:t>
            </w:r>
          </w:p>
        </w:tc>
        <w:tc>
          <w:tcPr>
            <w:tcW w:type="dxa" w:w="3360"/>
          </w:tcPr>
          <w:p>
            <w:r>
              <w:t>Business-specific documents</w:t>
            </w:r>
          </w:p>
        </w:tc>
        <w:tc>
          <w:tcPr>
            <w:tcW w:type="dxa" w:w="3360"/>
          </w:tcPr>
          <w:p>
            <w:r>
              <w:t>Chosen to avoid over-DRY and coupling of unrelated business layouts/rules.</w:t>
            </w:r>
          </w:p>
        </w:tc>
      </w:tr>
      <w:tr>
        <w:tc>
          <w:tcPr>
            <w:tcW w:type="dxa" w:w="3360"/>
          </w:tcPr>
          <w:p>
            <w:r>
              <w:t>ADR-009</w:t>
            </w:r>
          </w:p>
        </w:tc>
        <w:tc>
          <w:tcPr>
            <w:tcW w:type="dxa" w:w="3360"/>
          </w:tcPr>
          <w:p>
            <w:r>
              <w:t>Centralized metadata</w:t>
            </w:r>
          </w:p>
        </w:tc>
        <w:tc>
          <w:tcPr>
            <w:tcW w:type="dxa" w:w="3360"/>
          </w:tcPr>
          <w:p>
            <w:r>
              <w:t>Chosen to avoid duplicating global reference data in every tenant DB.</w:t>
            </w:r>
          </w:p>
        </w:tc>
      </w:tr>
      <w:tr>
        <w:tc>
          <w:tcPr>
            <w:tcW w:type="dxa" w:w="3360"/>
          </w:tcPr>
          <w:p>
            <w:r>
              <w:t>ADR-010</w:t>
            </w:r>
          </w:p>
        </w:tc>
        <w:tc>
          <w:tcPr>
            <w:tcW w:type="dxa" w:w="3360"/>
          </w:tcPr>
          <w:p>
            <w:r>
              <w:t>PDF as canonical printable artifact</w:t>
            </w:r>
          </w:p>
        </w:tc>
        <w:tc>
          <w:tcPr>
            <w:tcW w:type="dxa" w:w="3360"/>
          </w:tcPr>
          <w:p>
            <w:r>
              <w:t>Chosen for consistent download, storage and printing.</w:t>
            </w:r>
          </w:p>
        </w:tc>
      </w:tr>
      <w:tr>
        <w:tc>
          <w:tcPr>
            <w:tcW w:type="dxa" w:w="3360"/>
          </w:tcPr>
          <w:p>
            <w:r>
              <w:t>ADR-011</w:t>
            </w:r>
          </w:p>
        </w:tc>
        <w:tc>
          <w:tcPr>
            <w:tcW w:type="dxa" w:w="3360"/>
          </w:tcPr>
          <w:p>
            <w:r>
              <w:t>Workflow-first modeling</w:t>
            </w:r>
          </w:p>
        </w:tc>
        <w:tc>
          <w:tcPr>
            <w:tcW w:type="dxa" w:w="3360"/>
          </w:tcPr>
          <w:p>
            <w:r>
              <w:t>Chosen because veterinary operations are more than CRUD entities.</w:t>
            </w:r>
          </w:p>
        </w:tc>
      </w:tr>
      <w:tr>
        <w:tc>
          <w:tcPr>
            <w:tcW w:type="dxa" w:w="3360"/>
          </w:tcPr>
          <w:p>
            <w:r>
              <w:t>ADR-012</w:t>
            </w:r>
          </w:p>
        </w:tc>
        <w:tc>
          <w:tcPr>
            <w:tcW w:type="dxa" w:w="3360"/>
          </w:tcPr>
          <w:p>
            <w:r>
              <w:t>AI outside transaction path</w:t>
            </w:r>
          </w:p>
        </w:tc>
        <w:tc>
          <w:tcPr>
            <w:tcW w:type="dxa" w:w="3360"/>
          </w:tcPr>
          <w:p>
            <w:r>
              <w:t>Chosen for clinical safety, deterministic operations and future flexibility.</w:t>
            </w:r>
          </w:p>
        </w:tc>
      </w:tr>
    </w:tbl>
    <w:p>
      <w:pPr>
        <w:pStyle w:val="Heading1"/>
      </w:pPr>
      <w:r>
        <w:t>4. Definition of Done</w:t>
      </w:r>
    </w:p>
    <w:p>
      <w:pPr>
        <w:pStyle w:val="ListBullet"/>
      </w:pPr>
      <w:r>
        <w:t>Requirement implemented in the owning vertical slice.</w:t>
      </w:r>
    </w:p>
    <w:p>
      <w:pPr>
        <w:pStyle w:val="ListBullet"/>
      </w:pPr>
      <w:r>
        <w:t>Authorization tested.</w:t>
      </w:r>
    </w:p>
    <w:p>
      <w:pPr>
        <w:pStyle w:val="ListBullet"/>
      </w:pPr>
      <w:r>
        <w:t>Tenant isolation tested.</w:t>
      </w:r>
    </w:p>
    <w:p>
      <w:pPr>
        <w:pStyle w:val="ListBullet"/>
      </w:pPr>
      <w:r>
        <w:t>Business rules covered by tests.</w:t>
      </w:r>
    </w:p>
    <w:p>
      <w:pPr>
        <w:pStyle w:val="ListBullet"/>
      </w:pPr>
      <w:r>
        <w:t>Audit behavior implemented where required.</w:t>
      </w:r>
    </w:p>
    <w:p>
      <w:pPr>
        <w:pStyle w:val="ListBullet"/>
      </w:pPr>
      <w:r>
        <w:t>State transition validated server-side.</w:t>
      </w:r>
    </w:p>
    <w:p>
      <w:pPr>
        <w:pStyle w:val="ListBullet"/>
      </w:pPr>
      <w:r>
        <w:t>Relevant PDF/document implemented if workflow requires it.</w:t>
      </w:r>
    </w:p>
    <w:p>
      <w:pPr>
        <w:pStyle w:val="ListBullet"/>
      </w:pPr>
      <w:r>
        <w:t>OpenAPI updated.</w:t>
      </w:r>
    </w:p>
    <w:p>
      <w:pPr>
        <w:pStyle w:val="ListBullet"/>
      </w:pPr>
      <w:r>
        <w:t>Telemetry added.</w:t>
      </w:r>
    </w:p>
    <w:p>
      <w:pPr>
        <w:pStyle w:val="ListBullet"/>
      </w:pPr>
      <w:r>
        <w:t>Migration/seed updated.</w:t>
      </w:r>
    </w:p>
    <w:p>
      <w:pPr>
        <w:pStyle w:val="ListBullet"/>
      </w:pPr>
      <w:r>
        <w:t>Acceptance criteria passed.</w:t>
      </w:r>
    </w:p>
    <w:p>
      <w:pPr>
        <w:pStyle w:val="Heading1"/>
      </w:pPr>
      <w:r>
        <w:t>5. Final Architecture Summary</w:t>
      </w:r>
    </w:p>
    <w:p>
      <w:r>
        <w:rPr>
          <w:rFonts w:ascii="Consolas" w:hAnsi="Consolas"/>
          <w:sz w:val="16"/>
        </w:rPr>
        <w:t xml:space="preserve">                 ┌──────────────────────────────┐</w:t>
        <w:br/>
        <w:t xml:space="preserve">                 │        Angular PWA              │</w:t>
        <w:br/>
        <w:t xml:space="preserve">                 │ /platform /business /portal     │</w:t>
        <w:br/>
        <w:t xml:space="preserve">                 └──────────────┬───────────────────┘</w:t>
        <w:br/>
        <w:t xml:space="preserve">                                │ OIDC/API</w:t>
        <w:br/>
        <w:t xml:space="preserve">                         ┌──────▼───────┐</w:t>
        <w:br/>
        <w:t xml:space="preserve">                         │   Keycloak   │</w:t>
        <w:br/>
        <w:t xml:space="preserve">                         └──────┬───────┘</w:t>
        <w:br/>
        <w:t xml:space="preserve">                                │</w:t>
        <w:br/>
        <w:t xml:space="preserve">                 ┌──────────────▼──────────────┐</w:t>
        <w:br/>
        <w:t xml:space="preserve">                 │ ASP.NET Core .NET 10        │</w:t>
        <w:br/>
        <w:t xml:space="preserve">                 │ Modular Monolith            │</w:t>
        <w:br/>
        <w:t xml:space="preserve">                 │ Vertical Slices / CQRS-lite │</w:t>
        <w:br/>
        <w:t xml:space="preserve">                 └───────┬───────────┬─────────┘</w:t>
        <w:br/>
        <w:t xml:space="preserve">                         │           │</w:t>
        <w:br/>
        <w:t xml:space="preserve">                 ┌───────▼───┐   ┌──▼────────────┐</w:t>
        <w:br/>
        <w:t xml:space="preserve">                 │ Platform  │   │ Tenant DB(s)  │</w:t>
        <w:br/>
        <w:t xml:space="preserve">                 │ PostgreSQL│   │ PostgreSQL    │</w:t>
        <w:br/>
        <w:t xml:space="preserve">                 └───────────┘   └───────────────┘</w:t>
        <w:br/>
        <w:t xml:space="preserve">                         │           │</w:t>
        <w:br/>
        <w:t xml:space="preserve">                         └─────┬─────┘</w:t>
        <w:br/>
        <w:t xml:space="preserve">                               ▼</w:t>
        <w:br/>
        <w:t xml:space="preserve">                         Outbox + Workers</w:t>
        <w:br/>
        <w:t xml:space="preserve">                               │</w:t>
        <w:br/>
        <w:t xml:space="preserve">                 ┌─────────────┼─────────────┐</w:t>
        <w:br/>
        <w:t xml:space="preserve">                 ▼             ▼             ▼</w:t>
        <w:br/>
        <w:t xml:space="preserve">             Documents    Notifications   Integrations</w:t>
        <w:br/>
        <w:t xml:space="preserve">                 │</w:t>
        <w:br/>
        <w:t xml:space="preserve">                 ▼</w:t>
        <w:br/>
        <w:t xml:space="preserve">            MinIO / S3</w:t>
        <w:br/>
        <w:br/>
        <w:t>Observability: OpenTelemetry + Prometheus + Grafana</w:t>
        <w:br/>
        <w:t>Future: RabbitMQ/Kafka/AI/Analytics only when justified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VetFlow — Confidential Product &amp; Engineering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