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Software/System Design Document (SDD)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Architecture Overview</w:t>
      </w:r>
    </w:p>
    <w:p>
      <w:r>
        <w:br/>
        <w:t>VetFlow is a multi-tenant veterinary practice management SaaS. Tenant business data is isolated using database-per-tenant. A central Platform/Control Plane PostgreSQL database stores tenant metadata, subscriptions, database mappings, global reference metadata, platform users, features and platform audit information. Each tenant has a dedicated PostgreSQL database for operational data.</w:t>
        <w:br/>
        <w:br/>
        <w:t>The application is a modular monolith with vertical slices. Domain events and a transactional outbox are implemented from day one, but no external broker is required for V1. RabbitMQ is a future option for asynchronous application workflows; Kafka is reserved for high-volume event streaming/analytics when justified. This deliberately avoids distributed-system complexity before it is needed.</w:t>
        <w:br/>
      </w:r>
    </w:p>
    <w:p>
      <w:r>
        <w:rPr>
          <w:rFonts w:ascii="Consolas" w:hAnsi="Consolas"/>
          <w:sz w:val="16"/>
        </w:rPr>
        <w:t>Angular PWA → ASP.NET Core API → Application/Vertical Slices → Domain → EF Core/PostgreSQL</w:t>
      </w:r>
    </w:p>
    <w:p>
      <w:r>
        <w:rPr>
          <w:rFonts w:ascii="Consolas" w:hAnsi="Consolas"/>
          <w:sz w:val="16"/>
        </w:rPr>
        <w:t xml:space="preserve">                           ↘ Outbox → Worker → future integrations</w:t>
      </w:r>
    </w:p>
    <w:p>
      <w:pPr>
        <w:pStyle w:val="Heading1"/>
      </w:pPr>
      <w:r>
        <w:t>2. Architectural Principles</w:t>
      </w:r>
    </w:p>
    <w:p>
      <w:pPr>
        <w:pStyle w:val="ListBullet"/>
      </w:pPr>
      <w:r>
        <w:t>Modular monolith first.</w:t>
      </w:r>
    </w:p>
    <w:p>
      <w:pPr>
        <w:pStyle w:val="ListBullet"/>
      </w:pPr>
      <w:r>
        <w:t>Vertical slice ownership of workflows.</w:t>
      </w:r>
    </w:p>
    <w:p>
      <w:pPr>
        <w:pStyle w:val="ListBullet"/>
      </w:pPr>
      <w:r>
        <w:t>DDD only where domain complexity justifies it; do not create ceremony for simple CRUD/reference operations.</w:t>
      </w:r>
    </w:p>
    <w:p>
      <w:pPr>
        <w:pStyle w:val="ListBullet"/>
      </w:pPr>
      <w:r>
        <w:t>CQRS-lite: commands for state changes and queries optimized for reads.</w:t>
      </w:r>
    </w:p>
    <w:p>
      <w:pPr>
        <w:pStyle w:val="ListBullet"/>
      </w:pPr>
      <w:r>
        <w:t>Business-specific logic stays close to its workflow.</w:t>
      </w:r>
    </w:p>
    <w:p>
      <w:pPr>
        <w:pStyle w:val="ListBullet"/>
      </w:pPr>
      <w:r>
        <w:t>Share infrastructure, not unstable business abstractions.</w:t>
      </w:r>
    </w:p>
    <w:p>
      <w:pPr>
        <w:pStyle w:val="ListBullet"/>
      </w:pPr>
      <w:r>
        <w:t>Database-per-tenant for operational isolation.</w:t>
      </w:r>
    </w:p>
    <w:p>
      <w:pPr>
        <w:pStyle w:val="ListBullet"/>
      </w:pPr>
      <w:r>
        <w:t>Centralize global metadata in Platform DB.</w:t>
      </w:r>
    </w:p>
    <w:p>
      <w:pPr>
        <w:pStyle w:val="ListBullet"/>
      </w:pPr>
      <w:r>
        <w:t>Keycloak handles authentication; VetFlow handles authorization/business access.</w:t>
      </w:r>
    </w:p>
    <w:p>
      <w:pPr>
        <w:pStyle w:val="ListBullet"/>
      </w:pPr>
      <w:r>
        <w:t>Transactional consistency first; asynchronous processing only where useful.</w:t>
      </w:r>
    </w:p>
    <w:p>
      <w:pPr>
        <w:pStyle w:val="ListBullet"/>
      </w:pPr>
      <w:r>
        <w:t>No mandatory external broker in V1.</w:t>
      </w:r>
    </w:p>
    <w:p>
      <w:pPr>
        <w:pStyle w:val="Heading1"/>
      </w:pPr>
      <w:r>
        <w:t>3. Logical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VetFlow.Api</w:t>
            </w:r>
          </w:p>
        </w:tc>
        <w:tc>
          <w:tcPr>
            <w:tcW w:type="dxa" w:w="5040"/>
          </w:tcPr>
          <w:p>
            <w:r>
              <w:t>HTTP, auth middleware, tenant resolution, API composition</w:t>
            </w:r>
          </w:p>
        </w:tc>
      </w:tr>
      <w:tr>
        <w:tc>
          <w:tcPr>
            <w:tcW w:type="dxa" w:w="5040"/>
          </w:tcPr>
          <w:p>
            <w:r>
              <w:t>VetFlow.Platform</w:t>
            </w:r>
          </w:p>
        </w:tc>
        <w:tc>
          <w:tcPr>
            <w:tcW w:type="dxa" w:w="5040"/>
          </w:tcPr>
          <w:p>
            <w:r>
              <w:t>Tenants, subscriptions, provisioning, platform metadata</w:t>
            </w:r>
          </w:p>
        </w:tc>
      </w:tr>
      <w:tr>
        <w:tc>
          <w:tcPr>
            <w:tcW w:type="dxa" w:w="5040"/>
          </w:tcPr>
          <w:p>
            <w:r>
              <w:t>VetFlow.Identity</w:t>
            </w:r>
          </w:p>
        </w:tc>
        <w:tc>
          <w:tcPr>
            <w:tcW w:type="dxa" w:w="5040"/>
          </w:tcPr>
          <w:p>
            <w:r>
              <w:t>Keycloak integration, claims mapping, application identity context</w:t>
            </w:r>
          </w:p>
        </w:tc>
      </w:tr>
      <w:tr>
        <w:tc>
          <w:tcPr>
            <w:tcW w:type="dxa" w:w="5040"/>
          </w:tcPr>
          <w:p>
            <w:r>
              <w:t>VetFlow.Practice</w:t>
            </w:r>
          </w:p>
        </w:tc>
        <w:tc>
          <w:tcPr>
            <w:tcW w:type="dxa" w:w="5040"/>
          </w:tcPr>
          <w:p>
            <w:r>
              <w:t>Branches, practice settings, users/roles/permissions</w:t>
            </w:r>
          </w:p>
        </w:tc>
      </w:tr>
      <w:tr>
        <w:tc>
          <w:tcPr>
            <w:tcW w:type="dxa" w:w="5040"/>
          </w:tcPr>
          <w:p>
            <w:r>
              <w:t>VetFlow.Client</w:t>
            </w:r>
          </w:p>
        </w:tc>
        <w:tc>
          <w:tcPr>
            <w:tcW w:type="dxa" w:w="5040"/>
          </w:tcPr>
          <w:p>
            <w:r>
              <w:t>Clients, contacts, addresses, communication preferences</w:t>
            </w:r>
          </w:p>
        </w:tc>
      </w:tr>
      <w:tr>
        <w:tc>
          <w:tcPr>
            <w:tcW w:type="dxa" w:w="5040"/>
          </w:tcPr>
          <w:p>
            <w:r>
              <w:t>VetFlow.Patient</w:t>
            </w:r>
          </w:p>
        </w:tc>
        <w:tc>
          <w:tcPr>
            <w:tcW w:type="dxa" w:w="5040"/>
          </w:tcPr>
          <w:p>
            <w:r>
              <w:t>Animals, identifiers, medical profile, timeline</w:t>
            </w:r>
          </w:p>
        </w:tc>
      </w:tr>
      <w:tr>
        <w:tc>
          <w:tcPr>
            <w:tcW w:type="dxa" w:w="5040"/>
          </w:tcPr>
          <w:p>
            <w:r>
              <w:t>VetFlow.Scheduling</w:t>
            </w:r>
          </w:p>
        </w:tc>
        <w:tc>
          <w:tcPr>
            <w:tcW w:type="dxa" w:w="5040"/>
          </w:tcPr>
          <w:p>
            <w:r>
              <w:t>Appointments, queue, check-in</w:t>
            </w:r>
          </w:p>
        </w:tc>
      </w:tr>
      <w:tr>
        <w:tc>
          <w:tcPr>
            <w:tcW w:type="dxa" w:w="5040"/>
          </w:tcPr>
          <w:p>
            <w:r>
              <w:t>VetFlow.Clinical</w:t>
            </w:r>
          </w:p>
        </w:tc>
        <w:tc>
          <w:tcPr>
            <w:tcW w:type="dxa" w:w="5040"/>
          </w:tcPr>
          <w:p>
            <w:r>
              <w:t>Encounters, diagnosis, treatment, follow-up</w:t>
            </w:r>
          </w:p>
        </w:tc>
      </w:tr>
      <w:tr>
        <w:tc>
          <w:tcPr>
            <w:tcW w:type="dxa" w:w="5040"/>
          </w:tcPr>
          <w:p>
            <w:r>
              <w:t>VetFlow.Diagnostics</w:t>
            </w:r>
          </w:p>
        </w:tc>
        <w:tc>
          <w:tcPr>
            <w:tcW w:type="dxa" w:w="5040"/>
          </w:tcPr>
          <w:p>
            <w:r>
              <w:t>Orders, samples, results, reports</w:t>
            </w:r>
          </w:p>
        </w:tc>
      </w:tr>
      <w:tr>
        <w:tc>
          <w:tcPr>
            <w:tcW w:type="dxa" w:w="5040"/>
          </w:tcPr>
          <w:p>
            <w:r>
              <w:t>VetFlow.Pharmacy</w:t>
            </w:r>
          </w:p>
        </w:tc>
        <w:tc>
          <w:tcPr>
            <w:tcW w:type="dxa" w:w="5040"/>
          </w:tcPr>
          <w:p>
            <w:r>
              <w:t>Prescriptions, dispensing</w:t>
            </w:r>
          </w:p>
        </w:tc>
      </w:tr>
      <w:tr>
        <w:tc>
          <w:tcPr>
            <w:tcW w:type="dxa" w:w="5040"/>
          </w:tcPr>
          <w:p>
            <w:r>
              <w:t>VetFlow.Inventory</w:t>
            </w:r>
          </w:p>
        </w:tc>
        <w:tc>
          <w:tcPr>
            <w:tcW w:type="dxa" w:w="5040"/>
          </w:tcPr>
          <w:p>
            <w:r>
              <w:t>Products, batches, stock, purchasing</w:t>
            </w:r>
          </w:p>
        </w:tc>
      </w:tr>
      <w:tr>
        <w:tc>
          <w:tcPr>
            <w:tcW w:type="dxa" w:w="5040"/>
          </w:tcPr>
          <w:p>
            <w:r>
              <w:t>VetFlow.Billing</w:t>
            </w:r>
          </w:p>
        </w:tc>
        <w:tc>
          <w:tcPr>
            <w:tcW w:type="dxa" w:w="5040"/>
          </w:tcPr>
          <w:p>
            <w:r>
              <w:t>Estimates, charges, invoices, payments, refunds</w:t>
            </w:r>
          </w:p>
        </w:tc>
      </w:tr>
      <w:tr>
        <w:tc>
          <w:tcPr>
            <w:tcW w:type="dxa" w:w="5040"/>
          </w:tcPr>
          <w:p>
            <w:r>
              <w:t>VetFlow.Hospitalization</w:t>
            </w:r>
          </w:p>
        </w:tc>
        <w:tc>
          <w:tcPr>
            <w:tcW w:type="dxa" w:w="5040"/>
          </w:tcPr>
          <w:p>
            <w:r>
              <w:t>Admissions, monitoring, discharge</w:t>
            </w:r>
          </w:p>
        </w:tc>
      </w:tr>
      <w:tr>
        <w:tc>
          <w:tcPr>
            <w:tcW w:type="dxa" w:w="5040"/>
          </w:tcPr>
          <w:p>
            <w:r>
              <w:t>VetFlow.Communication</w:t>
            </w:r>
          </w:p>
        </w:tc>
        <w:tc>
          <w:tcPr>
            <w:tcW w:type="dxa" w:w="5040"/>
          </w:tcPr>
          <w:p>
            <w:r>
              <w:t>Notification abstractions/integration orchestration</w:t>
            </w:r>
          </w:p>
        </w:tc>
      </w:tr>
      <w:tr>
        <w:tc>
          <w:tcPr>
            <w:tcW w:type="dxa" w:w="5040"/>
          </w:tcPr>
          <w:p>
            <w:r>
              <w:t>VetFlow.Reporting</w:t>
            </w:r>
          </w:p>
        </w:tc>
        <w:tc>
          <w:tcPr>
            <w:tcW w:type="dxa" w:w="5040"/>
          </w:tcPr>
          <w:p>
            <w:r>
              <w:t>Operational/reporting queries</w:t>
            </w:r>
          </w:p>
        </w:tc>
      </w:tr>
      <w:tr>
        <w:tc>
          <w:tcPr>
            <w:tcW w:type="dxa" w:w="5040"/>
          </w:tcPr>
          <w:p>
            <w:r>
              <w:t>VetFlow.Audit</w:t>
            </w:r>
          </w:p>
        </w:tc>
        <w:tc>
          <w:tcPr>
            <w:tcW w:type="dxa" w:w="5040"/>
          </w:tcPr>
          <w:p>
            <w:r>
              <w:t>Audit infrastructure and query access</w:t>
            </w:r>
          </w:p>
        </w:tc>
      </w:tr>
    </w:tbl>
    <w:p>
      <w:pPr>
        <w:pStyle w:val="Heading1"/>
      </w:pPr>
      <w:r>
        <w:t>4. Repository Structure</w:t>
      </w:r>
    </w:p>
    <w:p>
      <w:r>
        <w:rPr>
          <w:rFonts w:ascii="Consolas" w:hAnsi="Consolas"/>
          <w:sz w:val="16"/>
        </w:rPr>
        <w:t>VetFlow/</w:t>
        <w:br/>
        <w:t>├── src/</w:t>
        <w:br/>
        <w:t>│   ├── VetFlow.Api</w:t>
        <w:br/>
        <w:t>│   ├── VetFlow.Platform</w:t>
        <w:br/>
        <w:t>│   ├── VetFlow.Identity</w:t>
        <w:br/>
        <w:t>│   ├── VetFlow.Practice</w:t>
        <w:br/>
        <w:t>│   ├── VetFlow.Client</w:t>
        <w:br/>
        <w:t>│   ├── VetFlow.Patient</w:t>
        <w:br/>
        <w:t>│   ├── VetFlow.Scheduling</w:t>
        <w:br/>
        <w:t>│   ├── VetFlow.Clinical</w:t>
        <w:br/>
        <w:t>│   ├── VetFlow.Diagnostics</w:t>
        <w:br/>
        <w:t>│   ├── VetFlow.Pharmacy</w:t>
        <w:br/>
        <w:t>│   ├── VetFlow.Inventory</w:t>
        <w:br/>
        <w:t>│   ├── VetFlow.Billing</w:t>
        <w:br/>
        <w:t>│   ├── VetFlow.Hospitalization</w:t>
        <w:br/>
        <w:t>│   ├── VetFlow.Communication</w:t>
        <w:br/>
        <w:t>│   ├── VetFlow.Reporting</w:t>
        <w:br/>
        <w:t>│   └── VetFlow.Audit</w:t>
        <w:br/>
        <w:t>├── frontend/vetflow</w:t>
        <w:br/>
        <w:t>├── workers/{NotificationWorker,OutboxWorker,ReportingWorker}</w:t>
        <w:br/>
        <w:t>├── tests/</w:t>
        <w:br/>
        <w:t>├── infrastructure/{opentofu,docker}</w:t>
        <w:br/>
        <w:t>└── docs/{BRD,PRD,SDD,database,api,workflows,architecture}</w:t>
      </w:r>
    </w:p>
    <w:p>
      <w:pPr>
        <w:pStyle w:val="Heading1"/>
      </w:pPr>
      <w:r>
        <w:t>5. Authentication &amp; Authorization</w:t>
      </w:r>
    </w:p>
    <w:p>
      <w:r>
        <w:t>Keycloak is the identity provider. VetFlow does not implement password storage or authentication tables. Keycloak manages authentication, sessions, MFA/OTP where configured and OIDC/OAuth2 tokens. VetFlow stores IdentityProviderUserId and application authorization data.</w:t>
      </w:r>
    </w:p>
    <w:p>
      <w:r>
        <w:rPr>
          <w:rFonts w:ascii="Consolas" w:hAnsi="Consolas"/>
          <w:sz w:val="16"/>
        </w:rPr>
        <w:t>Keycloak → OIDC/OAuth2 JWT → ASP.NET Core → Tenant + Branch + Role + Permission checks</w:t>
      </w:r>
    </w:p>
    <w:p>
      <w:pPr>
        <w:pStyle w:val="ListBullet"/>
      </w:pPr>
      <w:r>
        <w:t>Business staff use business login entry point.</w:t>
      </w:r>
    </w:p>
    <w:p>
      <w:pPr>
        <w:pStyle w:val="ListBullet"/>
      </w:pPr>
      <w:r>
        <w:t>Platform administrators use platform login entry point.</w:t>
      </w:r>
    </w:p>
    <w:p>
      <w:pPr>
        <w:pStyle w:val="ListBullet"/>
      </w:pPr>
      <w:r>
        <w:t>Pet owners use portal login; mobile/OTP can be supported through the identity provider.</w:t>
      </w:r>
    </w:p>
    <w:p>
      <w:pPr>
        <w:pStyle w:val="ListBullet"/>
      </w:pPr>
      <w:r>
        <w:t>Frontend route guards are not security boundaries.</w:t>
      </w:r>
    </w:p>
    <w:p>
      <w:pPr>
        <w:pStyle w:val="ListBullet"/>
      </w:pPr>
      <w:r>
        <w:t>API derives tenant identity from trusted server-side context/claims and platform mapping.</w:t>
      </w:r>
    </w:p>
    <w:p>
      <w:pPr>
        <w:pStyle w:val="ListBullet"/>
      </w:pPr>
      <w:r>
        <w:t>Never trust a tenant ID supplied by the browser.</w:t>
      </w:r>
    </w:p>
    <w:p>
      <w:pPr>
        <w:pStyle w:val="ListBullet"/>
      </w:pPr>
      <w:r>
        <w:t>Pet portal endpoints are separated from staff endpoints.</w:t>
      </w:r>
    </w:p>
    <w:p>
      <w:pPr>
        <w:pStyle w:val="Heading1"/>
      </w:pPr>
      <w:r>
        <w:t>6. Multi-Tenancy</w:t>
      </w:r>
    </w:p>
    <w:p>
      <w:r>
        <w:rPr>
          <w:rFonts w:ascii="Consolas" w:hAnsi="Consolas"/>
          <w:sz w:val="16"/>
        </w:rPr>
        <w:t>Platform DB</w:t>
        <w:br/>
        <w:t xml:space="preserve">  Tenant</w:t>
        <w:br/>
        <w:t xml:space="preserve">  Subscription</w:t>
        <w:br/>
        <w:t xml:space="preserve">  Plan</w:t>
        <w:br/>
        <w:t xml:space="preserve">  TenantDatabase</w:t>
        <w:br/>
        <w:t xml:space="preserve">  PlatformUser</w:t>
        <w:br/>
        <w:t xml:space="preserve">  Feature</w:t>
        <w:br/>
        <w:t xml:space="preserve">  TenantFeature</w:t>
        <w:br/>
        <w:t xml:space="preserve">  GlobalReferenceMetadata</w:t>
        <w:br/>
        <w:t xml:space="preserve">  PlatformAudit</w:t>
        <w:br/>
        <w:br/>
        <w:t>Tenant DB (one per tenant)</w:t>
        <w:br/>
        <w:t xml:space="preserve">  Branch</w:t>
        <w:br/>
        <w:t xml:space="preserve">  User</w:t>
        <w:br/>
        <w:t xml:space="preserve">  Role</w:t>
        <w:br/>
        <w:t xml:space="preserve">  Permission</w:t>
        <w:br/>
        <w:t xml:space="preserve">  UserRole</w:t>
        <w:br/>
        <w:t xml:space="preserve">  UserBranch</w:t>
        <w:br/>
        <w:t xml:space="preserve">  PracticeSetting</w:t>
        <w:br/>
        <w:t xml:space="preserve">  Client...</w:t>
        <w:br/>
        <w:t xml:space="preserve">  Animal...</w:t>
        <w:br/>
        <w:t xml:space="preserve">  Clinical...</w:t>
        <w:br/>
        <w:t xml:space="preserve">  Billing...</w:t>
        <w:br/>
        <w:t xml:space="preserve">  Inventory...</w:t>
        <w:br/>
        <w:t xml:space="preserve">  Audit</w:t>
        <w:br/>
        <w:t xml:space="preserve">  OutboxMessage</w:t>
      </w:r>
    </w:p>
    <w:p>
      <w:r>
        <w:t>There are no cross-database foreign keys. Tenant databases store reference IDs for centralized metadata and resolve them through application services/cache. Global metadata follows Global → Tenant Override → Transaction.</w:t>
      </w:r>
    </w:p>
    <w:p>
      <w:pPr>
        <w:pStyle w:val="Heading1"/>
      </w:pPr>
      <w:r>
        <w:t>7. Tenant Provisioning</w:t>
      </w:r>
    </w:p>
    <w:p>
      <w:r>
        <w:rPr>
          <w:rFonts w:ascii="Consolas" w:hAnsi="Consolas"/>
          <w:sz w:val="16"/>
        </w:rPr>
        <w:t>Requested → Provisioning → DatabaseCreated → Migrating → Seeded → AdminInvited → Ready → Active</w:t>
      </w:r>
    </w:p>
    <w:p>
      <w:pPr>
        <w:pStyle w:val="ListNumber"/>
      </w:pPr>
      <w:r>
        <w:t>Create tenant record in Platform DB.</w:t>
      </w:r>
    </w:p>
    <w:p>
      <w:pPr>
        <w:pStyle w:val="ListNumber"/>
      </w:pPr>
      <w:r>
        <w:t>Allocate database mapping/credentials securely.</w:t>
      </w:r>
    </w:p>
    <w:p>
      <w:pPr>
        <w:pStyle w:val="ListNumber"/>
      </w:pPr>
      <w:r>
        <w:t>Create tenant PostgreSQL database.</w:t>
      </w:r>
    </w:p>
    <w:p>
      <w:pPr>
        <w:pStyle w:val="ListNumber"/>
      </w:pPr>
      <w:r>
        <w:t>Apply EF Core migrations.</w:t>
      </w:r>
    </w:p>
    <w:p>
      <w:pPr>
        <w:pStyle w:val="ListNumber"/>
      </w:pPr>
      <w:r>
        <w:t>Seed tenant roles, permissions and default configuration.</w:t>
      </w:r>
    </w:p>
    <w:p>
      <w:pPr>
        <w:pStyle w:val="ListNumber"/>
      </w:pPr>
      <w:r>
        <w:t>Create/invite tenant administrator in Keycloak.</w:t>
      </w:r>
    </w:p>
    <w:p>
      <w:pPr>
        <w:pStyle w:val="ListNumber"/>
      </w:pPr>
      <w:r>
        <w:t>Create application identity mapping.</w:t>
      </w:r>
    </w:p>
    <w:p>
      <w:pPr>
        <w:pStyle w:val="ListNumber"/>
      </w:pPr>
      <w:r>
        <w:t>Mark tenant Ready/Active.</w:t>
      </w:r>
    </w:p>
    <w:p>
      <w:pPr>
        <w:pStyle w:val="ListNumber"/>
      </w:pPr>
      <w:r>
        <w:t>Record provisioning audit events.</w:t>
      </w:r>
    </w:p>
    <w:p>
      <w:pPr>
        <w:pStyle w:val="Heading1"/>
      </w:pPr>
      <w:r>
        <w:t>8. Data and Transaction Boundaries</w:t>
      </w:r>
    </w:p>
    <w:p>
      <w:pPr>
        <w:pStyle w:val="ListBullet"/>
      </w:pPr>
      <w:r>
        <w:t>Each command uses one tenant DB transaction where possible.</w:t>
      </w:r>
    </w:p>
    <w:p>
      <w:pPr>
        <w:pStyle w:val="ListBullet"/>
      </w:pPr>
      <w:r>
        <w:t>State change + OutboxMessage are committed atomically.</w:t>
      </w:r>
    </w:p>
    <w:p>
      <w:pPr>
        <w:pStyle w:val="ListBullet"/>
      </w:pPr>
      <w:r>
        <w:t>External calls occur after commit or through workers.</w:t>
      </w:r>
    </w:p>
    <w:p>
      <w:pPr>
        <w:pStyle w:val="ListBullet"/>
      </w:pPr>
      <w:r>
        <w:t>Avoid distributed transactions.</w:t>
      </w:r>
    </w:p>
    <w:p>
      <w:pPr>
        <w:pStyle w:val="ListBullet"/>
      </w:pPr>
      <w:r>
        <w:t>Use idempotency keys for externally retried operations where appropriate.</w:t>
      </w:r>
    </w:p>
    <w:p>
      <w:pPr>
        <w:pStyle w:val="Heading1"/>
      </w:pPr>
      <w:r>
        <w:t>9. Outbox</w:t>
      </w:r>
    </w:p>
    <w:p>
      <w:r>
        <w:rPr>
          <w:rFonts w:ascii="Consolas" w:hAnsi="Consolas"/>
          <w:sz w:val="16"/>
        </w:rPr>
        <w:t>BEGIN</w:t>
        <w:br/>
        <w:t xml:space="preserve">  UPDATE Encounter SET Status='Completed'</w:t>
        <w:br/>
        <w:t xml:space="preserve">  INSERT OutboxMessage(EventType='EncounterCompleted', AggregateId=...)</w:t>
        <w:br/>
        <w:t>COMMIT</w:t>
      </w:r>
    </w:p>
    <w:p>
      <w:r>
        <w:t>An OutboxWorker reads pending messages, performs integration/background work, records attempts and errors, and supports retry/dead-letter handling. V1 can run this worker directly against PostgreSQL without RabbitMQ.</w:t>
      </w:r>
    </w:p>
    <w:p>
      <w:pPr>
        <w:pStyle w:val="Heading1"/>
      </w:pPr>
      <w:r>
        <w:t>10. Document Architecture</w:t>
      </w:r>
    </w:p>
    <w:p>
      <w:r>
        <w:t>Each business module owns its document composition: VaccinationCertificatePdf, PrescriptionPdf, InvoicePdf, LabReportPdf, SurgeryReportPdf, etc. Shared infrastructure is limited to stable primitives such as PDF rendering, page/header/footer helpers, storage and download response handling. This deliberately avoids a universal document abstraction that could couple unrelated business rules.</w:t>
      </w:r>
    </w:p>
    <w:p>
      <w:pPr>
        <w:pStyle w:val="Heading1"/>
      </w:pPr>
      <w:r>
        <w:t>11. Observability</w:t>
      </w:r>
    </w:p>
    <w:p>
      <w:pPr>
        <w:pStyle w:val="ListBullet"/>
      </w:pPr>
      <w:r>
        <w:t>OpenTelemetry traces</w:t>
      </w:r>
    </w:p>
    <w:p>
      <w:pPr>
        <w:pStyle w:val="ListBullet"/>
      </w:pPr>
      <w:r>
        <w:t>Structured application logs</w:t>
      </w:r>
    </w:p>
    <w:p>
      <w:pPr>
        <w:pStyle w:val="ListBullet"/>
      </w:pPr>
      <w:r>
        <w:t>Metrics</w:t>
      </w:r>
    </w:p>
    <w:p>
      <w:pPr>
        <w:pStyle w:val="ListBullet"/>
      </w:pPr>
      <w:r>
        <w:t>Prometheus</w:t>
      </w:r>
    </w:p>
    <w:p>
      <w:pPr>
        <w:pStyle w:val="ListBullet"/>
      </w:pPr>
      <w:r>
        <w:t>Grafana</w:t>
      </w:r>
    </w:p>
    <w:p>
      <w:pPr>
        <w:pStyle w:val="ListBullet"/>
      </w:pPr>
      <w:r>
        <w:t>OpenSearch optional for centralized logs</w:t>
      </w:r>
    </w:p>
    <w:p>
      <w:pPr>
        <w:pStyle w:val="ListBullet"/>
      </w:pPr>
      <w:r>
        <w:t>Correlation/trace IDs</w:t>
      </w:r>
    </w:p>
    <w:p>
      <w:pPr>
        <w:pStyle w:val="ListBullet"/>
      </w:pPr>
      <w:r>
        <w:t>Tenant-aware operational telemetry without exposing sensitive clinical content</w:t>
      </w:r>
    </w:p>
    <w:p>
      <w:pPr>
        <w:pStyle w:val="Heading1"/>
      </w:pPr>
      <w:r>
        <w:t>12. Deployment</w:t>
      </w:r>
    </w:p>
    <w:p>
      <w:pPr>
        <w:pStyle w:val="ListBullet"/>
      </w:pPr>
      <w:r>
        <w:t>Dockerized services</w:t>
      </w:r>
    </w:p>
    <w:p>
      <w:pPr>
        <w:pStyle w:val="ListBullet"/>
      </w:pPr>
      <w:r>
        <w:t>OpenTofu for infrastructure</w:t>
      </w:r>
    </w:p>
    <w:p>
      <w:pPr>
        <w:pStyle w:val="ListBullet"/>
      </w:pPr>
      <w:r>
        <w:t>PostgreSQL</w:t>
      </w:r>
    </w:p>
    <w:p>
      <w:pPr>
        <w:pStyle w:val="ListBullet"/>
      </w:pPr>
      <w:r>
        <w:t>Keycloak</w:t>
      </w:r>
    </w:p>
    <w:p>
      <w:pPr>
        <w:pStyle w:val="ListBullet"/>
      </w:pPr>
      <w:r>
        <w:t>MinIO/S3-compatible object storage</w:t>
      </w:r>
    </w:p>
    <w:p>
      <w:pPr>
        <w:pStyle w:val="ListBullet"/>
      </w:pPr>
      <w:r>
        <w:t>Optional Valkey/Redis when caching is justified</w:t>
      </w:r>
    </w:p>
    <w:p>
      <w:pPr>
        <w:pStyle w:val="ListBullet"/>
      </w:pPr>
      <w:r>
        <w:t>Kubernetes only when operational scale requires it</w:t>
      </w:r>
    </w:p>
    <w:p>
      <w:pPr>
        <w:pStyle w:val="ListBullet"/>
      </w:pPr>
      <w:r>
        <w:t>Cloud deployment can be Azure/AWS/GCP/on-prem while application remains cloud-portable</w:t>
      </w:r>
    </w:p>
    <w:p>
      <w:pPr>
        <w:pStyle w:val="Heading1"/>
      </w:pPr>
      <w:r>
        <w:t>13. Security</w:t>
      </w:r>
    </w:p>
    <w:p>
      <w:pPr>
        <w:pStyle w:val="ListBullet"/>
      </w:pPr>
      <w:r>
        <w:t>TLS everywhere</w:t>
      </w:r>
    </w:p>
    <w:p>
      <w:pPr>
        <w:pStyle w:val="ListBullet"/>
      </w:pPr>
      <w:r>
        <w:t>Secrets outside source control</w:t>
      </w:r>
    </w:p>
    <w:p>
      <w:pPr>
        <w:pStyle w:val="ListBullet"/>
      </w:pPr>
      <w:r>
        <w:t>Keycloak OIDC</w:t>
      </w:r>
    </w:p>
    <w:p>
      <w:pPr>
        <w:pStyle w:val="ListBullet"/>
      </w:pPr>
      <w:r>
        <w:t>Short-lived access tokens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Tenant isolation tests</w:t>
      </w:r>
    </w:p>
    <w:p>
      <w:pPr>
        <w:pStyle w:val="ListBullet"/>
      </w:pPr>
      <w:r>
        <w:t>Branch authorization</w:t>
      </w:r>
    </w:p>
    <w:p>
      <w:pPr>
        <w:pStyle w:val="ListBullet"/>
      </w:pPr>
      <w:r>
        <w:t>Audit security-sensitive operations</w:t>
      </w:r>
    </w:p>
    <w:p>
      <w:pPr>
        <w:pStyle w:val="ListBullet"/>
      </w:pPr>
      <w:r>
        <w:t>Rate limiting on public/portal endpoints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Output encoding</w:t>
      </w:r>
    </w:p>
    <w:p>
      <w:pPr>
        <w:pStyle w:val="ListBullet"/>
      </w:pPr>
      <w:r>
        <w:t>File upload validation and malware scanning integration point</w:t>
      </w:r>
    </w:p>
    <w:p>
      <w:pPr>
        <w:pStyle w:val="ListBullet"/>
      </w:pPr>
      <w:r>
        <w:t>Secure document access using authorization checks, not guessable URLs</w:t>
      </w:r>
    </w:p>
    <w:p>
      <w:pPr>
        <w:pStyle w:val="Heading1"/>
      </w:pPr>
      <w:r>
        <w:t>14.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Domain rules, calculations, state transitions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Commands, handlers, authorization, transaction behavior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PostgreSQL, EF Core, Keycloak integration, tenant resolution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Contract, validation, error responses, authorization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End-to-end patient journey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Cross-tenant access, IDOR, role/branch boundaries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Critical business flows and responsive behavior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PDF content, layout and versioning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Representative tenant workloads and reporting queries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