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MINOR PROJECT</w:t>
      </w:r>
    </w:p>
    <w:p>
      <w:pPr>
        <w:pStyle w:val="Title"/>
        <w:jc w:val="center"/>
      </w:pPr>
      <w:r>
        <w:t>Portfolio Creation Project</w:t>
      </w:r>
    </w:p>
    <w:p>
      <w:pPr>
        <w:jc w:val="center"/>
      </w:pPr>
      <w:r>
        <w:rPr>
          <w:i/>
        </w:rPr>
        <w:t>Virtual investment portfolio of ₹1,00,000</w:t>
      </w:r>
    </w:p>
    <w:p>
      <w:pPr>
        <w:pStyle w:val="Heading1"/>
      </w:pPr>
      <w:r>
        <w:t>Objective</w:t>
      </w:r>
    </w:p>
    <w:p>
      <w:r>
        <w:t>To create a virtual portfolio of ₹1,00,000 by selecting five companies from different sectors and explaining the amount invested, quantity purchased, reason for selection, expected annual return and expected risk for each company.</w:t>
      </w:r>
    </w:p>
    <w:p>
      <w:pPr>
        <w:pStyle w:val="Heading1"/>
      </w:pPr>
      <w:r>
        <w:t>1. Portfolio Table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512"/>
            <w:vAlign w:val="center"/>
            <w:shd w:fill="1F4E79"/>
          </w:tcPr>
          <w:p>
            <w:pPr>
              <w:spacing w:after="0" w:before="0"/>
            </w:pPr>
            <w:r/>
            <w:r>
              <w:rPr>
                <w:rFonts w:ascii="Calibri" w:hAnsi="Calibri"/>
                <w:b/>
                <w:color w:val="FFFFFF"/>
                <w:sz w:val="14"/>
              </w:rPr>
              <w:t>Company</w:t>
            </w:r>
          </w:p>
        </w:tc>
        <w:tc>
          <w:tcPr>
            <w:tcW w:type="dxa" w:w="1080"/>
            <w:vAlign w:val="center"/>
            <w:shd w:fill="1F4E79"/>
          </w:tcPr>
          <w:p>
            <w:pPr>
              <w:spacing w:after="0" w:before="0"/>
            </w:pPr>
            <w:r/>
            <w:r>
              <w:rPr>
                <w:rFonts w:ascii="Calibri" w:hAnsi="Calibri"/>
                <w:b/>
                <w:color w:val="FFFFFF"/>
                <w:sz w:val="14"/>
              </w:rPr>
              <w:t>Planned investment</w:t>
            </w:r>
          </w:p>
        </w:tc>
        <w:tc>
          <w:tcPr>
            <w:tcW w:type="dxa" w:w="1368"/>
            <w:vAlign w:val="center"/>
            <w:shd w:fill="1F4E79"/>
          </w:tcPr>
          <w:p>
            <w:pPr>
              <w:spacing w:after="0" w:before="0"/>
            </w:pPr>
            <w:r/>
            <w:r>
              <w:rPr>
                <w:rFonts w:ascii="Calibri" w:hAnsi="Calibri"/>
                <w:b/>
                <w:color w:val="FFFFFF"/>
                <w:sz w:val="14"/>
              </w:rPr>
              <w:t>Reference price</w:t>
            </w:r>
          </w:p>
        </w:tc>
        <w:tc>
          <w:tcPr>
            <w:tcW w:type="dxa" w:w="720"/>
            <w:vAlign w:val="center"/>
            <w:shd w:fill="1F4E79"/>
          </w:tcPr>
          <w:p>
            <w:pPr>
              <w:spacing w:after="0" w:before="0"/>
            </w:pPr>
            <w:r/>
            <w:r>
              <w:rPr>
                <w:rFonts w:ascii="Calibri" w:hAnsi="Calibri"/>
                <w:b/>
                <w:color w:val="FFFFFF"/>
                <w:sz w:val="14"/>
              </w:rPr>
              <w:t>Quantity</w:t>
            </w:r>
          </w:p>
        </w:tc>
        <w:tc>
          <w:tcPr>
            <w:tcW w:type="dxa" w:w="1296"/>
            <w:vAlign w:val="center"/>
            <w:shd w:fill="1F4E79"/>
          </w:tcPr>
          <w:p>
            <w:pPr>
              <w:spacing w:after="0" w:before="0"/>
            </w:pPr>
            <w:r/>
            <w:r>
              <w:rPr>
                <w:rFonts w:ascii="Calibri" w:hAnsi="Calibri"/>
                <w:b/>
                <w:color w:val="FFFFFF"/>
                <w:sz w:val="14"/>
              </w:rPr>
              <w:t>Actual amount invested</w:t>
            </w:r>
          </w:p>
        </w:tc>
        <w:tc>
          <w:tcPr>
            <w:tcW w:type="dxa" w:w="3672"/>
            <w:vAlign w:val="center"/>
            <w:shd w:fill="1F4E79"/>
          </w:tcPr>
          <w:p>
            <w:pPr>
              <w:spacing w:after="0" w:before="0"/>
            </w:pPr>
            <w:r/>
            <w:r>
              <w:rPr>
                <w:rFonts w:ascii="Calibri" w:hAnsi="Calibri"/>
                <w:b/>
                <w:color w:val="FFFFFF"/>
                <w:sz w:val="14"/>
              </w:rPr>
              <w:t>Reason for selection</w:t>
            </w:r>
          </w:p>
        </w:tc>
      </w:tr>
      <w:tr>
        <w:tc>
          <w:tcPr>
            <w:tcW w:type="dxa" w:w="1512"/>
            <w:vAlign w:val="center"/>
          </w:tcPr>
          <w:p>
            <w:pPr>
              <w:spacing w:after="0" w:before="0"/>
            </w:pPr>
            <w:r/>
            <w:r>
              <w:rPr>
                <w:rFonts w:ascii="Calibri" w:hAnsi="Calibri"/>
                <w:b w:val="0"/>
                <w:sz w:val="14"/>
              </w:rPr>
              <w:t>Tata Motors Passenger Vehicles</w:t>
            </w:r>
          </w:p>
        </w:tc>
        <w:tc>
          <w:tcPr>
            <w:tcW w:type="dxa" w:w="1080"/>
            <w:vAlign w:val="center"/>
          </w:tcPr>
          <w:p>
            <w:pPr>
              <w:spacing w:after="0" w:before="0"/>
            </w:pPr>
            <w:r/>
            <w:r>
              <w:rPr>
                <w:rFonts w:ascii="Calibri" w:hAnsi="Calibri"/>
                <w:b w:val="0"/>
                <w:sz w:val="14"/>
              </w:rPr>
              <w:t>₹20,000</w:t>
            </w:r>
          </w:p>
        </w:tc>
        <w:tc>
          <w:tcPr>
            <w:tcW w:type="dxa" w:w="1368"/>
            <w:vAlign w:val="center"/>
          </w:tcPr>
          <w:p>
            <w:pPr>
              <w:spacing w:after="0" w:before="0"/>
            </w:pPr>
            <w:r/>
            <w:r>
              <w:rPr>
                <w:rFonts w:ascii="Calibri" w:hAnsi="Calibri"/>
                <w:b w:val="0"/>
                <w:sz w:val="14"/>
              </w:rPr>
              <w:t>₹X (enter price on purchase date)</w:t>
            </w:r>
          </w:p>
        </w:tc>
        <w:tc>
          <w:tcPr>
            <w:tcW w:type="dxa" w:w="720"/>
            <w:vAlign w:val="center"/>
          </w:tcPr>
          <w:p>
            <w:pPr>
              <w:spacing w:after="0" w:before="0"/>
            </w:pPr>
            <w:r/>
            <w:r>
              <w:rPr>
                <w:rFonts w:ascii="Calibri" w:hAnsi="Calibri"/>
                <w:b w:val="0"/>
                <w:sz w:val="14"/>
              </w:rPr>
              <w:t>Calculate</w:t>
            </w:r>
          </w:p>
        </w:tc>
        <w:tc>
          <w:tcPr>
            <w:tcW w:type="dxa" w:w="1296"/>
            <w:vAlign w:val="center"/>
          </w:tcPr>
          <w:p>
            <w:pPr>
              <w:spacing w:after="0" w:before="0"/>
            </w:pPr>
            <w:r/>
            <w:r>
              <w:rPr>
                <w:rFonts w:ascii="Calibri" w:hAnsi="Calibri"/>
                <w:b w:val="0"/>
                <w:sz w:val="14"/>
              </w:rPr>
              <w:t>Calculate</w:t>
            </w:r>
          </w:p>
        </w:tc>
        <w:tc>
          <w:tcPr>
            <w:tcW w:type="dxa" w:w="3672"/>
            <w:vAlign w:val="center"/>
          </w:tcPr>
          <w:p>
            <w:pPr>
              <w:spacing w:after="0" w:before="0"/>
            </w:pPr>
            <w:r/>
            <w:r>
              <w:rPr>
                <w:rFonts w:ascii="Calibri" w:hAnsi="Calibri"/>
                <w:b w:val="0"/>
                <w:sz w:val="14"/>
              </w:rPr>
              <w:t>Provides exposure to the automobile sector, including passenger vehicles and electric-mobility opportunities. Demand, competition and the pace of EV adoption can affect performance.</w:t>
            </w:r>
          </w:p>
        </w:tc>
      </w:tr>
      <w:tr>
        <w:tc>
          <w:tcPr>
            <w:tcW w:type="dxa" w:w="1512"/>
            <w:vAlign w:val="center"/>
          </w:tcPr>
          <w:p>
            <w:pPr>
              <w:spacing w:after="0" w:before="0"/>
            </w:pPr>
            <w:r/>
            <w:r>
              <w:rPr>
                <w:rFonts w:ascii="Calibri" w:hAnsi="Calibri"/>
                <w:b w:val="0"/>
                <w:sz w:val="14"/>
              </w:rPr>
              <w:t>Infosys</w:t>
            </w:r>
          </w:p>
        </w:tc>
        <w:tc>
          <w:tcPr>
            <w:tcW w:type="dxa" w:w="1080"/>
            <w:vAlign w:val="center"/>
          </w:tcPr>
          <w:p>
            <w:pPr>
              <w:spacing w:after="0" w:before="0"/>
            </w:pPr>
            <w:r/>
            <w:r>
              <w:rPr>
                <w:rFonts w:ascii="Calibri" w:hAnsi="Calibri"/>
                <w:b w:val="0"/>
                <w:sz w:val="14"/>
              </w:rPr>
              <w:t>₹20,000</w:t>
            </w:r>
          </w:p>
        </w:tc>
        <w:tc>
          <w:tcPr>
            <w:tcW w:type="dxa" w:w="1368"/>
            <w:vAlign w:val="center"/>
          </w:tcPr>
          <w:p>
            <w:pPr>
              <w:spacing w:after="0" w:before="0"/>
            </w:pPr>
            <w:r/>
            <w:r>
              <w:rPr>
                <w:rFonts w:ascii="Calibri" w:hAnsi="Calibri"/>
                <w:b w:val="0"/>
                <w:sz w:val="14"/>
              </w:rPr>
              <w:t>₹X (enter price on purchase date)</w:t>
            </w:r>
          </w:p>
        </w:tc>
        <w:tc>
          <w:tcPr>
            <w:tcW w:type="dxa" w:w="720"/>
            <w:vAlign w:val="center"/>
          </w:tcPr>
          <w:p>
            <w:pPr>
              <w:spacing w:after="0" w:before="0"/>
            </w:pPr>
            <w:r/>
            <w:r>
              <w:rPr>
                <w:rFonts w:ascii="Calibri" w:hAnsi="Calibri"/>
                <w:b w:val="0"/>
                <w:sz w:val="14"/>
              </w:rPr>
              <w:t>Calculate</w:t>
            </w:r>
          </w:p>
        </w:tc>
        <w:tc>
          <w:tcPr>
            <w:tcW w:type="dxa" w:w="1296"/>
            <w:vAlign w:val="center"/>
          </w:tcPr>
          <w:p>
            <w:pPr>
              <w:spacing w:after="0" w:before="0"/>
            </w:pPr>
            <w:r/>
            <w:r>
              <w:rPr>
                <w:rFonts w:ascii="Calibri" w:hAnsi="Calibri"/>
                <w:b w:val="0"/>
                <w:sz w:val="14"/>
              </w:rPr>
              <w:t>Calculate</w:t>
            </w:r>
          </w:p>
        </w:tc>
        <w:tc>
          <w:tcPr>
            <w:tcW w:type="dxa" w:w="3672"/>
            <w:vAlign w:val="center"/>
          </w:tcPr>
          <w:p>
            <w:pPr>
              <w:spacing w:after="0" w:before="0"/>
            </w:pPr>
            <w:r/>
            <w:r>
              <w:rPr>
                <w:rFonts w:ascii="Calibri" w:hAnsi="Calibri"/>
                <w:b w:val="0"/>
                <w:sz w:val="14"/>
              </w:rPr>
              <w:t>A major Indian IT services company with global clients. It offers exposure to digital transformation and technology spending, although client budgets and currency movements affect results.</w:t>
            </w:r>
          </w:p>
        </w:tc>
      </w:tr>
      <w:tr>
        <w:tc>
          <w:tcPr>
            <w:tcW w:type="dxa" w:w="1512"/>
            <w:vAlign w:val="center"/>
          </w:tcPr>
          <w:p>
            <w:pPr>
              <w:spacing w:after="0" w:before="0"/>
            </w:pPr>
            <w:r/>
            <w:r>
              <w:rPr>
                <w:rFonts w:ascii="Calibri" w:hAnsi="Calibri"/>
                <w:b w:val="0"/>
                <w:sz w:val="14"/>
              </w:rPr>
              <w:t>Asian Paints</w:t>
            </w:r>
          </w:p>
        </w:tc>
        <w:tc>
          <w:tcPr>
            <w:tcW w:type="dxa" w:w="1080"/>
            <w:vAlign w:val="center"/>
          </w:tcPr>
          <w:p>
            <w:pPr>
              <w:spacing w:after="0" w:before="0"/>
            </w:pPr>
            <w:r/>
            <w:r>
              <w:rPr>
                <w:rFonts w:ascii="Calibri" w:hAnsi="Calibri"/>
                <w:b w:val="0"/>
                <w:sz w:val="14"/>
              </w:rPr>
              <w:t>₹20,000</w:t>
            </w:r>
          </w:p>
        </w:tc>
        <w:tc>
          <w:tcPr>
            <w:tcW w:type="dxa" w:w="1368"/>
            <w:vAlign w:val="center"/>
          </w:tcPr>
          <w:p>
            <w:pPr>
              <w:spacing w:after="0" w:before="0"/>
            </w:pPr>
            <w:r/>
            <w:r>
              <w:rPr>
                <w:rFonts w:ascii="Calibri" w:hAnsi="Calibri"/>
                <w:b w:val="0"/>
                <w:sz w:val="14"/>
              </w:rPr>
              <w:t>₹X (enter price on purchase date)</w:t>
            </w:r>
          </w:p>
        </w:tc>
        <w:tc>
          <w:tcPr>
            <w:tcW w:type="dxa" w:w="720"/>
            <w:vAlign w:val="center"/>
          </w:tcPr>
          <w:p>
            <w:pPr>
              <w:spacing w:after="0" w:before="0"/>
            </w:pPr>
            <w:r/>
            <w:r>
              <w:rPr>
                <w:rFonts w:ascii="Calibri" w:hAnsi="Calibri"/>
                <w:b w:val="0"/>
                <w:sz w:val="14"/>
              </w:rPr>
              <w:t>Calculate</w:t>
            </w:r>
          </w:p>
        </w:tc>
        <w:tc>
          <w:tcPr>
            <w:tcW w:type="dxa" w:w="1296"/>
            <w:vAlign w:val="center"/>
          </w:tcPr>
          <w:p>
            <w:pPr>
              <w:spacing w:after="0" w:before="0"/>
            </w:pPr>
            <w:r/>
            <w:r>
              <w:rPr>
                <w:rFonts w:ascii="Calibri" w:hAnsi="Calibri"/>
                <w:b w:val="0"/>
                <w:sz w:val="14"/>
              </w:rPr>
              <w:t>Calculate</w:t>
            </w:r>
          </w:p>
        </w:tc>
        <w:tc>
          <w:tcPr>
            <w:tcW w:type="dxa" w:w="3672"/>
            <w:vAlign w:val="center"/>
          </w:tcPr>
          <w:p>
            <w:pPr>
              <w:spacing w:after="0" w:before="0"/>
            </w:pPr>
            <w:r/>
            <w:r>
              <w:rPr>
                <w:rFonts w:ascii="Calibri" w:hAnsi="Calibri"/>
                <w:b w:val="0"/>
                <w:sz w:val="14"/>
              </w:rPr>
              <w:t>A leading paints and coatings company with established brands and distribution. Housing demand and repainting activity can support business, while raw-material costs and competition are risks.</w:t>
            </w:r>
          </w:p>
        </w:tc>
      </w:tr>
      <w:tr>
        <w:tc>
          <w:tcPr>
            <w:tcW w:type="dxa" w:w="1512"/>
            <w:vAlign w:val="center"/>
          </w:tcPr>
          <w:p>
            <w:pPr>
              <w:spacing w:after="0" w:before="0"/>
            </w:pPr>
            <w:r/>
            <w:r>
              <w:rPr>
                <w:rFonts w:ascii="Calibri" w:hAnsi="Calibri"/>
                <w:b w:val="0"/>
                <w:sz w:val="14"/>
              </w:rPr>
              <w:t>Titan Company</w:t>
            </w:r>
          </w:p>
        </w:tc>
        <w:tc>
          <w:tcPr>
            <w:tcW w:type="dxa" w:w="1080"/>
            <w:vAlign w:val="center"/>
          </w:tcPr>
          <w:p>
            <w:pPr>
              <w:spacing w:after="0" w:before="0"/>
            </w:pPr>
            <w:r/>
            <w:r>
              <w:rPr>
                <w:rFonts w:ascii="Calibri" w:hAnsi="Calibri"/>
                <w:b w:val="0"/>
                <w:sz w:val="14"/>
              </w:rPr>
              <w:t>₹20,000</w:t>
            </w:r>
          </w:p>
        </w:tc>
        <w:tc>
          <w:tcPr>
            <w:tcW w:type="dxa" w:w="1368"/>
            <w:vAlign w:val="center"/>
          </w:tcPr>
          <w:p>
            <w:pPr>
              <w:spacing w:after="0" w:before="0"/>
            </w:pPr>
            <w:r/>
            <w:r>
              <w:rPr>
                <w:rFonts w:ascii="Calibri" w:hAnsi="Calibri"/>
                <w:b w:val="0"/>
                <w:sz w:val="14"/>
              </w:rPr>
              <w:t>₹X (enter price on purchase date)</w:t>
            </w:r>
          </w:p>
        </w:tc>
        <w:tc>
          <w:tcPr>
            <w:tcW w:type="dxa" w:w="720"/>
            <w:vAlign w:val="center"/>
          </w:tcPr>
          <w:p>
            <w:pPr>
              <w:spacing w:after="0" w:before="0"/>
            </w:pPr>
            <w:r/>
            <w:r>
              <w:rPr>
                <w:rFonts w:ascii="Calibri" w:hAnsi="Calibri"/>
                <w:b w:val="0"/>
                <w:sz w:val="14"/>
              </w:rPr>
              <w:t>Calculate</w:t>
            </w:r>
          </w:p>
        </w:tc>
        <w:tc>
          <w:tcPr>
            <w:tcW w:type="dxa" w:w="1296"/>
            <w:vAlign w:val="center"/>
          </w:tcPr>
          <w:p>
            <w:pPr>
              <w:spacing w:after="0" w:before="0"/>
            </w:pPr>
            <w:r/>
            <w:r>
              <w:rPr>
                <w:rFonts w:ascii="Calibri" w:hAnsi="Calibri"/>
                <w:b w:val="0"/>
                <w:sz w:val="14"/>
              </w:rPr>
              <w:t>Calculate</w:t>
            </w:r>
          </w:p>
        </w:tc>
        <w:tc>
          <w:tcPr>
            <w:tcW w:type="dxa" w:w="3672"/>
            <w:vAlign w:val="center"/>
          </w:tcPr>
          <w:p>
            <w:pPr>
              <w:spacing w:after="0" w:before="0"/>
            </w:pPr>
            <w:r/>
            <w:r>
              <w:rPr>
                <w:rFonts w:ascii="Calibri" w:hAnsi="Calibri"/>
                <w:b w:val="0"/>
                <w:sz w:val="14"/>
              </w:rPr>
              <w:t>A prominent consumer company with jewellery and lifestyle brands. It offers exposure to consumer spending, but gold prices, discretionary demand and valuation can influence returns.</w:t>
            </w:r>
          </w:p>
        </w:tc>
      </w:tr>
      <w:tr>
        <w:tc>
          <w:tcPr>
            <w:tcW w:type="dxa" w:w="1512"/>
            <w:vAlign w:val="center"/>
          </w:tcPr>
          <w:p>
            <w:pPr>
              <w:spacing w:after="0" w:before="0"/>
            </w:pPr>
            <w:r/>
            <w:r>
              <w:rPr>
                <w:rFonts w:ascii="Calibri" w:hAnsi="Calibri"/>
                <w:b w:val="0"/>
                <w:sz w:val="14"/>
              </w:rPr>
              <w:t>NTPC</w:t>
            </w:r>
          </w:p>
        </w:tc>
        <w:tc>
          <w:tcPr>
            <w:tcW w:type="dxa" w:w="1080"/>
            <w:vAlign w:val="center"/>
          </w:tcPr>
          <w:p>
            <w:pPr>
              <w:spacing w:after="0" w:before="0"/>
            </w:pPr>
            <w:r/>
            <w:r>
              <w:rPr>
                <w:rFonts w:ascii="Calibri" w:hAnsi="Calibri"/>
                <w:b w:val="0"/>
                <w:sz w:val="14"/>
              </w:rPr>
              <w:t>₹20,000</w:t>
            </w:r>
          </w:p>
        </w:tc>
        <w:tc>
          <w:tcPr>
            <w:tcW w:type="dxa" w:w="1368"/>
            <w:vAlign w:val="center"/>
          </w:tcPr>
          <w:p>
            <w:pPr>
              <w:spacing w:after="0" w:before="0"/>
            </w:pPr>
            <w:r/>
            <w:r>
              <w:rPr>
                <w:rFonts w:ascii="Calibri" w:hAnsi="Calibri"/>
                <w:b w:val="0"/>
                <w:sz w:val="14"/>
              </w:rPr>
              <w:t>₹X (enter price on purchase date)</w:t>
            </w:r>
          </w:p>
        </w:tc>
        <w:tc>
          <w:tcPr>
            <w:tcW w:type="dxa" w:w="720"/>
            <w:vAlign w:val="center"/>
          </w:tcPr>
          <w:p>
            <w:pPr>
              <w:spacing w:after="0" w:before="0"/>
            </w:pPr>
            <w:r/>
            <w:r>
              <w:rPr>
                <w:rFonts w:ascii="Calibri" w:hAnsi="Calibri"/>
                <w:b w:val="0"/>
                <w:sz w:val="14"/>
              </w:rPr>
              <w:t>Calculate</w:t>
            </w:r>
          </w:p>
        </w:tc>
        <w:tc>
          <w:tcPr>
            <w:tcW w:type="dxa" w:w="1296"/>
            <w:vAlign w:val="center"/>
          </w:tcPr>
          <w:p>
            <w:pPr>
              <w:spacing w:after="0" w:before="0"/>
            </w:pPr>
            <w:r/>
            <w:r>
              <w:rPr>
                <w:rFonts w:ascii="Calibri" w:hAnsi="Calibri"/>
                <w:b w:val="0"/>
                <w:sz w:val="14"/>
              </w:rPr>
              <w:t>Calculate</w:t>
            </w:r>
          </w:p>
        </w:tc>
        <w:tc>
          <w:tcPr>
            <w:tcW w:type="dxa" w:w="3672"/>
            <w:vAlign w:val="center"/>
          </w:tcPr>
          <w:p>
            <w:pPr>
              <w:spacing w:after="0" w:before="0"/>
            </w:pPr>
            <w:r/>
            <w:r>
              <w:rPr>
                <w:rFonts w:ascii="Calibri" w:hAnsi="Calibri"/>
                <w:b w:val="0"/>
                <w:sz w:val="14"/>
              </w:rPr>
              <w:t>A major power-generation company that provides exposure to India’s electricity demand and energy transition. Regulation, fuel costs and capital expenditure are important risk factors.</w:t>
            </w:r>
          </w:p>
        </w:tc>
      </w:tr>
      <w:tr>
        <w:tc>
          <w:tcPr>
            <w:tcW w:type="dxa" w:w="1512"/>
            <w:vAlign w:val="center"/>
            <w:shd w:fill="D9EAF7"/>
          </w:tcPr>
          <w:p>
            <w:pPr>
              <w:spacing w:after="0" w:before="0"/>
            </w:pPr>
            <w:r/>
            <w:r>
              <w:rPr>
                <w:rFonts w:ascii="Calibri" w:hAnsi="Calibri"/>
                <w:b/>
                <w:sz w:val="14"/>
              </w:rPr>
              <w:t>TOTAL</w:t>
            </w:r>
          </w:p>
        </w:tc>
        <w:tc>
          <w:tcPr>
            <w:tcW w:type="dxa" w:w="1080"/>
            <w:vAlign w:val="center"/>
            <w:shd w:fill="D9EAF7"/>
          </w:tcPr>
          <w:p>
            <w:pPr>
              <w:spacing w:after="0" w:before="0"/>
            </w:pPr>
            <w:r/>
            <w:r>
              <w:rPr>
                <w:rFonts w:ascii="Calibri" w:hAnsi="Calibri"/>
                <w:b/>
                <w:sz w:val="14"/>
              </w:rPr>
              <w:t>₹1,00,000</w:t>
            </w:r>
          </w:p>
        </w:tc>
        <w:tc>
          <w:tcPr>
            <w:tcW w:type="dxa" w:w="1368"/>
            <w:vAlign w:val="center"/>
            <w:shd w:fill="D9EAF7"/>
          </w:tcPr>
          <w:p>
            <w:pPr>
              <w:spacing w:after="0" w:before="0"/>
            </w:pPr>
            <w:r/>
            <w:r>
              <w:rPr>
                <w:rFonts w:ascii="Calibri" w:hAnsi="Calibri"/>
                <w:b/>
                <w:sz w:val="14"/>
              </w:rPr>
              <w:t>—</w:t>
            </w:r>
          </w:p>
        </w:tc>
        <w:tc>
          <w:tcPr>
            <w:tcW w:type="dxa" w:w="720"/>
            <w:vAlign w:val="center"/>
            <w:shd w:fill="D9EAF7"/>
          </w:tcPr>
          <w:p>
            <w:pPr>
              <w:spacing w:after="0" w:before="0"/>
            </w:pPr>
            <w:r/>
            <w:r>
              <w:rPr>
                <w:rFonts w:ascii="Calibri" w:hAnsi="Calibri"/>
                <w:b/>
                <w:sz w:val="14"/>
              </w:rPr>
              <w:t>—</w:t>
            </w:r>
          </w:p>
        </w:tc>
        <w:tc>
          <w:tcPr>
            <w:tcW w:type="dxa" w:w="1296"/>
            <w:vAlign w:val="center"/>
            <w:shd w:fill="D9EAF7"/>
          </w:tcPr>
          <w:p>
            <w:pPr>
              <w:spacing w:after="0" w:before="0"/>
            </w:pPr>
            <w:r/>
            <w:r>
              <w:rPr>
                <w:rFonts w:ascii="Calibri" w:hAnsi="Calibri"/>
                <w:b/>
                <w:sz w:val="14"/>
              </w:rPr>
              <w:t>To be calculated</w:t>
            </w:r>
          </w:p>
        </w:tc>
        <w:tc>
          <w:tcPr>
            <w:tcW w:type="dxa" w:w="3672"/>
            <w:vAlign w:val="center"/>
            <w:shd w:fill="D9EAF7"/>
          </w:tcPr>
          <w:p>
            <w:pPr>
              <w:spacing w:after="0" w:before="0"/>
            </w:pPr>
            <w:r/>
            <w:r>
              <w:rPr>
                <w:rFonts w:ascii="Calibri" w:hAnsi="Calibri"/>
                <w:b/>
                <w:sz w:val="14"/>
              </w:rPr>
              <w:t>Cash remaining depends on the reference prices and whole-share quantities.</w:t>
            </w:r>
          </w:p>
        </w:tc>
      </w:tr>
    </w:tbl>
    <w:p>
      <w:r>
        <w:t>Calculation method: Quantity = ₹20,000 ÷ reference share price, rounded down to a whole share. Actual amount invested = quantity × reference share price. Cash remaining = ₹1,00,000 minus the total actual amount invested.</w:t>
      </w:r>
    </w:p>
    <w:p>
      <w:pPr>
        <w:pStyle w:val="Heading1"/>
      </w:pPr>
      <w:r>
        <w:t>2. Expected Return and Risk</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12"/>
            <w:vAlign w:val="center"/>
            <w:shd w:fill="1F4E79"/>
          </w:tcPr>
          <w:p>
            <w:pPr>
              <w:spacing w:after="0" w:before="0"/>
            </w:pPr>
            <w:r/>
            <w:r>
              <w:rPr>
                <w:rFonts w:ascii="Calibri" w:hAnsi="Calibri"/>
                <w:b/>
                <w:color w:val="FFFFFF"/>
                <w:sz w:val="14"/>
              </w:rPr>
              <w:t>Company</w:t>
            </w:r>
          </w:p>
        </w:tc>
        <w:tc>
          <w:tcPr>
            <w:tcW w:type="dxa" w:w="1512"/>
            <w:vAlign w:val="center"/>
            <w:shd w:fill="1F4E79"/>
          </w:tcPr>
          <w:p>
            <w:pPr>
              <w:spacing w:after="0" w:before="0"/>
            </w:pPr>
            <w:r/>
            <w:r>
              <w:rPr>
                <w:rFonts w:ascii="Calibri" w:hAnsi="Calibri"/>
                <w:b/>
                <w:color w:val="FFFFFF"/>
                <w:sz w:val="14"/>
              </w:rPr>
              <w:t>Sector</w:t>
            </w:r>
          </w:p>
        </w:tc>
        <w:tc>
          <w:tcPr>
            <w:tcW w:type="dxa" w:w="1224"/>
            <w:vAlign w:val="center"/>
            <w:shd w:fill="1F4E79"/>
          </w:tcPr>
          <w:p>
            <w:pPr>
              <w:spacing w:after="0" w:before="0"/>
            </w:pPr>
            <w:r/>
            <w:r>
              <w:rPr>
                <w:rFonts w:ascii="Calibri" w:hAnsi="Calibri"/>
                <w:b/>
                <w:color w:val="FFFFFF"/>
                <w:sz w:val="14"/>
              </w:rPr>
              <w:t>Expected annual return*</w:t>
            </w:r>
          </w:p>
        </w:tc>
        <w:tc>
          <w:tcPr>
            <w:tcW w:type="dxa" w:w="1152"/>
            <w:vAlign w:val="center"/>
            <w:shd w:fill="1F4E79"/>
          </w:tcPr>
          <w:p>
            <w:pPr>
              <w:spacing w:after="0" w:before="0"/>
            </w:pPr>
            <w:r/>
            <w:r>
              <w:rPr>
                <w:rFonts w:ascii="Calibri" w:hAnsi="Calibri"/>
                <w:b/>
                <w:color w:val="FFFFFF"/>
                <w:sz w:val="14"/>
              </w:rPr>
              <w:t>Expected risk</w:t>
            </w:r>
          </w:p>
        </w:tc>
        <w:tc>
          <w:tcPr>
            <w:tcW w:type="dxa" w:w="3528"/>
            <w:vAlign w:val="center"/>
            <w:shd w:fill="1F4E79"/>
          </w:tcPr>
          <w:p>
            <w:pPr>
              <w:spacing w:after="0" w:before="0"/>
            </w:pPr>
            <w:r/>
            <w:r>
              <w:rPr>
                <w:rFonts w:ascii="Calibri" w:hAnsi="Calibri"/>
                <w:b/>
                <w:color w:val="FFFFFF"/>
                <w:sz w:val="14"/>
              </w:rPr>
              <w:t>Main risk factors</w:t>
            </w:r>
          </w:p>
        </w:tc>
      </w:tr>
      <w:tr>
        <w:tc>
          <w:tcPr>
            <w:tcW w:type="dxa" w:w="1512"/>
            <w:vAlign w:val="center"/>
          </w:tcPr>
          <w:p>
            <w:pPr>
              <w:spacing w:after="0" w:before="0"/>
            </w:pPr>
            <w:r/>
            <w:r>
              <w:rPr>
                <w:rFonts w:ascii="Calibri" w:hAnsi="Calibri"/>
                <w:b w:val="0"/>
                <w:sz w:val="14"/>
              </w:rPr>
              <w:t>Tata Motors Passenger Vehicles</w:t>
            </w:r>
          </w:p>
        </w:tc>
        <w:tc>
          <w:tcPr>
            <w:tcW w:type="dxa" w:w="1512"/>
            <w:vAlign w:val="center"/>
          </w:tcPr>
          <w:p>
            <w:pPr>
              <w:spacing w:after="0" w:before="0"/>
            </w:pPr>
            <w:r/>
            <w:r>
              <w:rPr>
                <w:rFonts w:ascii="Calibri" w:hAnsi="Calibri"/>
                <w:b w:val="0"/>
                <w:sz w:val="14"/>
              </w:rPr>
              <w:t>Automobiles</w:t>
            </w:r>
          </w:p>
        </w:tc>
        <w:tc>
          <w:tcPr>
            <w:tcW w:type="dxa" w:w="1224"/>
            <w:vAlign w:val="center"/>
          </w:tcPr>
          <w:p>
            <w:pPr>
              <w:spacing w:after="0" w:before="0"/>
            </w:pPr>
            <w:r/>
            <w:r>
              <w:rPr>
                <w:rFonts w:ascii="Calibri" w:hAnsi="Calibri"/>
                <w:b w:val="0"/>
                <w:sz w:val="14"/>
              </w:rPr>
              <w:t>10%–16%</w:t>
            </w:r>
          </w:p>
        </w:tc>
        <w:tc>
          <w:tcPr>
            <w:tcW w:type="dxa" w:w="1152"/>
            <w:vAlign w:val="center"/>
          </w:tcPr>
          <w:p>
            <w:pPr>
              <w:spacing w:after="0" w:before="0"/>
            </w:pPr>
            <w:r/>
            <w:r>
              <w:rPr>
                <w:rFonts w:ascii="Calibri" w:hAnsi="Calibri"/>
                <w:b w:val="0"/>
                <w:sz w:val="14"/>
              </w:rPr>
              <w:t>Medium to high</w:t>
            </w:r>
          </w:p>
        </w:tc>
        <w:tc>
          <w:tcPr>
            <w:tcW w:type="dxa" w:w="3528"/>
            <w:vAlign w:val="center"/>
          </w:tcPr>
          <w:p>
            <w:pPr>
              <w:spacing w:after="0" w:before="0"/>
            </w:pPr>
            <w:r/>
            <w:r>
              <w:rPr>
                <w:rFonts w:ascii="Calibri" w:hAnsi="Calibri"/>
                <w:b w:val="0"/>
                <w:sz w:val="14"/>
              </w:rPr>
              <w:t>Competition, vehicle demand, input costs, EV adoption and regulatory changes.</w:t>
            </w:r>
          </w:p>
        </w:tc>
      </w:tr>
      <w:tr>
        <w:tc>
          <w:tcPr>
            <w:tcW w:type="dxa" w:w="1512"/>
            <w:vAlign w:val="center"/>
          </w:tcPr>
          <w:p>
            <w:pPr>
              <w:spacing w:after="0" w:before="0"/>
            </w:pPr>
            <w:r/>
            <w:r>
              <w:rPr>
                <w:rFonts w:ascii="Calibri" w:hAnsi="Calibri"/>
                <w:b w:val="0"/>
                <w:sz w:val="14"/>
              </w:rPr>
              <w:t>Infosys</w:t>
            </w:r>
          </w:p>
        </w:tc>
        <w:tc>
          <w:tcPr>
            <w:tcW w:type="dxa" w:w="1512"/>
            <w:vAlign w:val="center"/>
          </w:tcPr>
          <w:p>
            <w:pPr>
              <w:spacing w:after="0" w:before="0"/>
            </w:pPr>
            <w:r/>
            <w:r>
              <w:rPr>
                <w:rFonts w:ascii="Calibri" w:hAnsi="Calibri"/>
                <w:b w:val="0"/>
                <w:sz w:val="14"/>
              </w:rPr>
              <w:t>Information technology</w:t>
            </w:r>
          </w:p>
        </w:tc>
        <w:tc>
          <w:tcPr>
            <w:tcW w:type="dxa" w:w="1224"/>
            <w:vAlign w:val="center"/>
          </w:tcPr>
          <w:p>
            <w:pPr>
              <w:spacing w:after="0" w:before="0"/>
            </w:pPr>
            <w:r/>
            <w:r>
              <w:rPr>
                <w:rFonts w:ascii="Calibri" w:hAnsi="Calibri"/>
                <w:b w:val="0"/>
                <w:sz w:val="14"/>
              </w:rPr>
              <w:t>10%–15%</w:t>
            </w:r>
          </w:p>
        </w:tc>
        <w:tc>
          <w:tcPr>
            <w:tcW w:type="dxa" w:w="1152"/>
            <w:vAlign w:val="center"/>
          </w:tcPr>
          <w:p>
            <w:pPr>
              <w:spacing w:after="0" w:before="0"/>
            </w:pPr>
            <w:r/>
            <w:r>
              <w:rPr>
                <w:rFonts w:ascii="Calibri" w:hAnsi="Calibri"/>
                <w:b w:val="0"/>
                <w:sz w:val="14"/>
              </w:rPr>
              <w:t>Medium</w:t>
            </w:r>
          </w:p>
        </w:tc>
        <w:tc>
          <w:tcPr>
            <w:tcW w:type="dxa" w:w="3528"/>
            <w:vAlign w:val="center"/>
          </w:tcPr>
          <w:p>
            <w:pPr>
              <w:spacing w:after="0" w:before="0"/>
            </w:pPr>
            <w:r/>
            <w:r>
              <w:rPr>
                <w:rFonts w:ascii="Calibri" w:hAnsi="Calibri"/>
                <w:b w:val="0"/>
                <w:sz w:val="14"/>
              </w:rPr>
              <w:t>Global IT spending, client concentration, currency changes and competition for technology services.</w:t>
            </w:r>
          </w:p>
        </w:tc>
      </w:tr>
      <w:tr>
        <w:tc>
          <w:tcPr>
            <w:tcW w:type="dxa" w:w="1512"/>
            <w:vAlign w:val="center"/>
          </w:tcPr>
          <w:p>
            <w:pPr>
              <w:spacing w:after="0" w:before="0"/>
            </w:pPr>
            <w:r/>
            <w:r>
              <w:rPr>
                <w:rFonts w:ascii="Calibri" w:hAnsi="Calibri"/>
                <w:b w:val="0"/>
                <w:sz w:val="14"/>
              </w:rPr>
              <w:t>Asian Paints</w:t>
            </w:r>
          </w:p>
        </w:tc>
        <w:tc>
          <w:tcPr>
            <w:tcW w:type="dxa" w:w="1512"/>
            <w:vAlign w:val="center"/>
          </w:tcPr>
          <w:p>
            <w:pPr>
              <w:spacing w:after="0" w:before="0"/>
            </w:pPr>
            <w:r/>
            <w:r>
              <w:rPr>
                <w:rFonts w:ascii="Calibri" w:hAnsi="Calibri"/>
                <w:b w:val="0"/>
                <w:sz w:val="14"/>
              </w:rPr>
              <w:t>Paints and coatings</w:t>
            </w:r>
          </w:p>
        </w:tc>
        <w:tc>
          <w:tcPr>
            <w:tcW w:type="dxa" w:w="1224"/>
            <w:vAlign w:val="center"/>
          </w:tcPr>
          <w:p>
            <w:pPr>
              <w:spacing w:after="0" w:before="0"/>
            </w:pPr>
            <w:r/>
            <w:r>
              <w:rPr>
                <w:rFonts w:ascii="Calibri" w:hAnsi="Calibri"/>
                <w:b w:val="0"/>
                <w:sz w:val="14"/>
              </w:rPr>
              <w:t>10%–14%</w:t>
            </w:r>
          </w:p>
        </w:tc>
        <w:tc>
          <w:tcPr>
            <w:tcW w:type="dxa" w:w="1152"/>
            <w:vAlign w:val="center"/>
          </w:tcPr>
          <w:p>
            <w:pPr>
              <w:spacing w:after="0" w:before="0"/>
            </w:pPr>
            <w:r/>
            <w:r>
              <w:rPr>
                <w:rFonts w:ascii="Calibri" w:hAnsi="Calibri"/>
                <w:b w:val="0"/>
                <w:sz w:val="14"/>
              </w:rPr>
              <w:t>Medium</w:t>
            </w:r>
          </w:p>
        </w:tc>
        <w:tc>
          <w:tcPr>
            <w:tcW w:type="dxa" w:w="3528"/>
            <w:vAlign w:val="center"/>
          </w:tcPr>
          <w:p>
            <w:pPr>
              <w:spacing w:after="0" w:before="0"/>
            </w:pPr>
            <w:r/>
            <w:r>
              <w:rPr>
                <w:rFonts w:ascii="Calibri" w:hAnsi="Calibri"/>
                <w:b w:val="0"/>
                <w:sz w:val="14"/>
              </w:rPr>
              <w:t>Raw-material price changes, competitive pressure, housing demand and slower consumer spending.</w:t>
            </w:r>
          </w:p>
        </w:tc>
      </w:tr>
      <w:tr>
        <w:tc>
          <w:tcPr>
            <w:tcW w:type="dxa" w:w="1512"/>
            <w:vAlign w:val="center"/>
          </w:tcPr>
          <w:p>
            <w:pPr>
              <w:spacing w:after="0" w:before="0"/>
            </w:pPr>
            <w:r/>
            <w:r>
              <w:rPr>
                <w:rFonts w:ascii="Calibri" w:hAnsi="Calibri"/>
                <w:b w:val="0"/>
                <w:sz w:val="14"/>
              </w:rPr>
              <w:t>Titan Company</w:t>
            </w:r>
          </w:p>
        </w:tc>
        <w:tc>
          <w:tcPr>
            <w:tcW w:type="dxa" w:w="1512"/>
            <w:vAlign w:val="center"/>
          </w:tcPr>
          <w:p>
            <w:pPr>
              <w:spacing w:after="0" w:before="0"/>
            </w:pPr>
            <w:r/>
            <w:r>
              <w:rPr>
                <w:rFonts w:ascii="Calibri" w:hAnsi="Calibri"/>
                <w:b w:val="0"/>
                <w:sz w:val="14"/>
              </w:rPr>
              <w:t>Consumer goods and jewellery</w:t>
            </w:r>
          </w:p>
        </w:tc>
        <w:tc>
          <w:tcPr>
            <w:tcW w:type="dxa" w:w="1224"/>
            <w:vAlign w:val="center"/>
          </w:tcPr>
          <w:p>
            <w:pPr>
              <w:spacing w:after="0" w:before="0"/>
            </w:pPr>
            <w:r/>
            <w:r>
              <w:rPr>
                <w:rFonts w:ascii="Calibri" w:hAnsi="Calibri"/>
                <w:b w:val="0"/>
                <w:sz w:val="14"/>
              </w:rPr>
              <w:t>12%–18%</w:t>
            </w:r>
          </w:p>
        </w:tc>
        <w:tc>
          <w:tcPr>
            <w:tcW w:type="dxa" w:w="1152"/>
            <w:vAlign w:val="center"/>
          </w:tcPr>
          <w:p>
            <w:pPr>
              <w:spacing w:after="0" w:before="0"/>
            </w:pPr>
            <w:r/>
            <w:r>
              <w:rPr>
                <w:rFonts w:ascii="Calibri" w:hAnsi="Calibri"/>
                <w:b w:val="0"/>
                <w:sz w:val="14"/>
              </w:rPr>
              <w:t>Medium to high</w:t>
            </w:r>
          </w:p>
        </w:tc>
        <w:tc>
          <w:tcPr>
            <w:tcW w:type="dxa" w:w="3528"/>
            <w:vAlign w:val="center"/>
          </w:tcPr>
          <w:p>
            <w:pPr>
              <w:spacing w:after="0" w:before="0"/>
            </w:pPr>
            <w:r/>
            <w:r>
              <w:rPr>
                <w:rFonts w:ascii="Calibri" w:hAnsi="Calibri"/>
                <w:b w:val="0"/>
                <w:sz w:val="14"/>
              </w:rPr>
              <w:t>Gold-price volatility, discretionary demand, competition and high market valuation.</w:t>
            </w:r>
          </w:p>
        </w:tc>
      </w:tr>
      <w:tr>
        <w:tc>
          <w:tcPr>
            <w:tcW w:type="dxa" w:w="1512"/>
            <w:vAlign w:val="center"/>
          </w:tcPr>
          <w:p>
            <w:pPr>
              <w:spacing w:after="0" w:before="0"/>
            </w:pPr>
            <w:r/>
            <w:r>
              <w:rPr>
                <w:rFonts w:ascii="Calibri" w:hAnsi="Calibri"/>
                <w:b w:val="0"/>
                <w:sz w:val="14"/>
              </w:rPr>
              <w:t>NTPC</w:t>
            </w:r>
          </w:p>
        </w:tc>
        <w:tc>
          <w:tcPr>
            <w:tcW w:type="dxa" w:w="1512"/>
            <w:vAlign w:val="center"/>
          </w:tcPr>
          <w:p>
            <w:pPr>
              <w:spacing w:after="0" w:before="0"/>
            </w:pPr>
            <w:r/>
            <w:r>
              <w:rPr>
                <w:rFonts w:ascii="Calibri" w:hAnsi="Calibri"/>
                <w:b w:val="0"/>
                <w:sz w:val="14"/>
              </w:rPr>
              <w:t>Power and utilities</w:t>
            </w:r>
          </w:p>
        </w:tc>
        <w:tc>
          <w:tcPr>
            <w:tcW w:type="dxa" w:w="1224"/>
            <w:vAlign w:val="center"/>
          </w:tcPr>
          <w:p>
            <w:pPr>
              <w:spacing w:after="0" w:before="0"/>
            </w:pPr>
            <w:r/>
            <w:r>
              <w:rPr>
                <w:rFonts w:ascii="Calibri" w:hAnsi="Calibri"/>
                <w:b w:val="0"/>
                <w:sz w:val="14"/>
              </w:rPr>
              <w:t>9%–13%</w:t>
            </w:r>
          </w:p>
        </w:tc>
        <w:tc>
          <w:tcPr>
            <w:tcW w:type="dxa" w:w="1152"/>
            <w:vAlign w:val="center"/>
          </w:tcPr>
          <w:p>
            <w:pPr>
              <w:spacing w:after="0" w:before="0"/>
            </w:pPr>
            <w:r/>
            <w:r>
              <w:rPr>
                <w:rFonts w:ascii="Calibri" w:hAnsi="Calibri"/>
                <w:b w:val="0"/>
                <w:sz w:val="14"/>
              </w:rPr>
              <w:t>Low to medium</w:t>
            </w:r>
          </w:p>
        </w:tc>
        <w:tc>
          <w:tcPr>
            <w:tcW w:type="dxa" w:w="3528"/>
            <w:vAlign w:val="center"/>
          </w:tcPr>
          <w:p>
            <w:pPr>
              <w:spacing w:after="0" w:before="0"/>
            </w:pPr>
            <w:r/>
            <w:r>
              <w:rPr>
                <w:rFonts w:ascii="Calibri" w:hAnsi="Calibri"/>
                <w:b w:val="0"/>
                <w:sz w:val="14"/>
              </w:rPr>
              <w:t>Regulatory decisions, fuel availability and costs, project execution and energy-transition requirements.</w:t>
            </w:r>
          </w:p>
        </w:tc>
      </w:tr>
    </w:tbl>
    <w:p>
      <w:r>
        <w:rPr>
          <w:i/>
          <w:sz w:val="16"/>
        </w:rPr>
        <w:t>*These annual return ranges are illustrative assumptions for the academic exercise, not live forecasts or guaranteed returns.</w:t>
      </w:r>
    </w:p>
    <w:p>
      <w:pPr>
        <w:pStyle w:val="Heading1"/>
      </w:pPr>
      <w:r>
        <w:t>3. Portfolio Summary</w:t>
      </w:r>
    </w:p>
    <w:p>
      <w:pPr>
        <w:pStyle w:val="ListBullet"/>
      </w:pPr>
      <w:r>
        <w:t>Planned allocation: ₹20,000 to each of five companies, or 20% of the starting portfolio per company.</w:t>
      </w:r>
    </w:p>
    <w:p>
      <w:pPr>
        <w:pStyle w:val="ListBullet"/>
      </w:pPr>
      <w:r>
        <w:t>Sector diversification: automobiles, information technology, paints and coatings, consumer goods and power utilities.</w:t>
      </w:r>
    </w:p>
    <w:p>
      <w:pPr>
        <w:pStyle w:val="ListBullet"/>
      </w:pPr>
      <w:r>
        <w:t>The selected companies provide exposure to different economic drivers, including technology spending, consumer demand, vehicle sales and electricity demand.</w:t>
      </w:r>
    </w:p>
    <w:p>
      <w:pPr>
        <w:pStyle w:val="ListBullet"/>
      </w:pPr>
      <w:r>
        <w:t>Overall expected risk: medium to high. Sector diversification can reduce concentration in one industry, but it does not eliminate market risk or company-specific losses.</w:t>
      </w:r>
    </w:p>
    <w:p>
      <w:pPr>
        <w:pStyle w:val="ListBullet"/>
      </w:pPr>
      <w:r>
        <w:t>Final invested amount, cash balance and portfolio-level expected return should be calculated after entering the share prices on the chosen virtual purchase date.</w:t>
      </w:r>
    </w:p>
    <w:p>
      <w:pPr>
        <w:pStyle w:val="Heading1"/>
      </w:pPr>
      <w:r>
        <w:t>4. Notes and Limitations</w:t>
      </w:r>
    </w:p>
    <w:p>
      <w:pPr>
        <w:pStyle w:val="ListBullet"/>
      </w:pPr>
      <w:r>
        <w:t>The reference document does not provide prices for these replacement companies. Therefore, the price and quantity columns are left for completion using the share prices on the selected purchase date, rather than inventing market prices.</w:t>
      </w:r>
    </w:p>
    <w:p>
      <w:pPr>
        <w:pStyle w:val="ListBullet"/>
      </w:pPr>
      <w:r>
        <w:t>Use the same date for all five reference prices where possible. Quantities should be whole shares and must not exceed the ₹20,000 allocation for each company.</w:t>
      </w:r>
    </w:p>
    <w:p>
      <w:pPr>
        <w:pStyle w:val="ListBullet"/>
      </w:pPr>
      <w:r>
        <w:t>Expected returns are assumptions for coursework only. Actual returns can be negative, and this project is not investment advice.</w:t>
      </w:r>
    </w:p>
    <w:sectPr w:rsidR="00FC693F" w:rsidRPr="0006063C" w:rsidSect="00034616">
      <w:footerReference w:type="default" r:id="rId9"/>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Minor Project | Portfolio Creation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