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7DD0" w14:textId="3E8DC196" w:rsidR="00436C73" w:rsidRPr="00CF6E08" w:rsidRDefault="00D102D7" w:rsidP="00CF6E08">
      <w:pPr>
        <w:tabs>
          <w:tab w:val="left" w:pos="0"/>
        </w:tabs>
        <w:spacing w:before="120" w:after="0" w:line="276" w:lineRule="auto"/>
        <w:ind w:right="-518"/>
        <w:jc w:val="both"/>
        <w:rPr>
          <w:rFonts w:ascii="Arial" w:eastAsia="Cambria" w:hAnsi="Arial" w:cs="Arial"/>
          <w:bCs/>
        </w:rPr>
      </w:pPr>
      <w:r w:rsidRPr="00CF6E08">
        <w:rPr>
          <w:rFonts w:ascii="Arial" w:eastAsia="Cambria" w:hAnsi="Arial" w:cs="Arial"/>
          <w:b/>
          <w:sz w:val="28"/>
          <w:szCs w:val="28"/>
          <w:u w:val="single"/>
        </w:rPr>
        <w:t>C</w:t>
      </w:r>
      <w:r w:rsidRPr="00CF6E08">
        <w:rPr>
          <w:rFonts w:ascii="Arial" w:eastAsia="Cambria" w:hAnsi="Arial" w:cs="Arial"/>
          <w:b/>
          <w:sz w:val="28"/>
          <w:szCs w:val="28"/>
        </w:rPr>
        <w:t xml:space="preserve">onsensus on the </w:t>
      </w:r>
      <w:r w:rsidRPr="00CF6E08">
        <w:rPr>
          <w:rFonts w:ascii="Arial" w:eastAsia="Cambria" w:hAnsi="Arial" w:cs="Arial"/>
          <w:b/>
          <w:sz w:val="28"/>
          <w:szCs w:val="28"/>
          <w:u w:val="single"/>
        </w:rPr>
        <w:t>R</w:t>
      </w:r>
      <w:r w:rsidRPr="00CF6E08">
        <w:rPr>
          <w:rFonts w:ascii="Arial" w:eastAsia="Cambria" w:hAnsi="Arial" w:cs="Arial"/>
          <w:b/>
          <w:sz w:val="28"/>
          <w:szCs w:val="28"/>
        </w:rPr>
        <w:t xml:space="preserve">eporting and </w:t>
      </w:r>
      <w:r w:rsidRPr="00CF6E08">
        <w:rPr>
          <w:rFonts w:ascii="Arial" w:eastAsia="Cambria" w:hAnsi="Arial" w:cs="Arial"/>
          <w:b/>
          <w:sz w:val="28"/>
          <w:szCs w:val="28"/>
          <w:u w:val="single"/>
        </w:rPr>
        <w:t>E</w:t>
      </w:r>
      <w:r w:rsidRPr="00CF6E08">
        <w:rPr>
          <w:rFonts w:ascii="Arial" w:eastAsia="Cambria" w:hAnsi="Arial" w:cs="Arial"/>
          <w:b/>
          <w:sz w:val="28"/>
          <w:szCs w:val="28"/>
        </w:rPr>
        <w:t xml:space="preserve">xperimental </w:t>
      </w:r>
      <w:r w:rsidRPr="00CF6E08">
        <w:rPr>
          <w:rFonts w:ascii="Arial" w:eastAsia="Cambria" w:hAnsi="Arial" w:cs="Arial"/>
          <w:b/>
          <w:sz w:val="28"/>
          <w:szCs w:val="28"/>
          <w:u w:val="single"/>
        </w:rPr>
        <w:t>D</w:t>
      </w:r>
      <w:r w:rsidRPr="00CF6E08">
        <w:rPr>
          <w:rFonts w:ascii="Arial" w:eastAsia="Cambria" w:hAnsi="Arial" w:cs="Arial"/>
          <w:b/>
          <w:sz w:val="28"/>
          <w:szCs w:val="28"/>
        </w:rPr>
        <w:t>esign of clinical and cognitive-</w:t>
      </w:r>
      <w:proofErr w:type="spellStart"/>
      <w:r w:rsidRPr="00CF6E08">
        <w:rPr>
          <w:rFonts w:ascii="Arial" w:eastAsia="Cambria" w:hAnsi="Arial" w:cs="Arial"/>
          <w:b/>
          <w:sz w:val="28"/>
          <w:szCs w:val="28"/>
        </w:rPr>
        <w:t>behavioural</w:t>
      </w:r>
      <w:proofErr w:type="spellEnd"/>
      <w:r w:rsidRPr="00CF6E08">
        <w:rPr>
          <w:rFonts w:ascii="Arial" w:eastAsia="Cambria" w:hAnsi="Arial" w:cs="Arial"/>
          <w:b/>
          <w:sz w:val="28"/>
          <w:szCs w:val="28"/>
        </w:rPr>
        <w:t xml:space="preserve"> </w:t>
      </w:r>
      <w:r w:rsidRPr="00CF6E08">
        <w:rPr>
          <w:rFonts w:ascii="Arial" w:eastAsia="Cambria" w:hAnsi="Arial" w:cs="Arial"/>
          <w:b/>
          <w:sz w:val="28"/>
          <w:szCs w:val="28"/>
          <w:u w:val="single"/>
        </w:rPr>
        <w:t>N</w:t>
      </w:r>
      <w:r w:rsidRPr="00CF6E08">
        <w:rPr>
          <w:rFonts w:ascii="Arial" w:eastAsia="Cambria" w:hAnsi="Arial" w:cs="Arial"/>
          <w:b/>
          <w:sz w:val="28"/>
          <w:szCs w:val="28"/>
        </w:rPr>
        <w:t>euro</w:t>
      </w:r>
      <w:r w:rsidRPr="00CF6E08">
        <w:rPr>
          <w:rFonts w:ascii="Arial" w:eastAsia="Cambria" w:hAnsi="Arial" w:cs="Arial"/>
          <w:b/>
          <w:sz w:val="28"/>
          <w:szCs w:val="28"/>
          <w:u w:val="single"/>
        </w:rPr>
        <w:t>f</w:t>
      </w:r>
      <w:r w:rsidRPr="00CF6E08">
        <w:rPr>
          <w:rFonts w:ascii="Arial" w:eastAsia="Cambria" w:hAnsi="Arial" w:cs="Arial"/>
          <w:b/>
          <w:sz w:val="28"/>
          <w:szCs w:val="28"/>
        </w:rPr>
        <w:t>eedback studies (CRED-</w:t>
      </w:r>
      <w:proofErr w:type="spellStart"/>
      <w:r w:rsidRPr="00CF6E08">
        <w:rPr>
          <w:rFonts w:ascii="Arial" w:eastAsia="Cambria" w:hAnsi="Arial" w:cs="Arial"/>
          <w:b/>
          <w:sz w:val="28"/>
          <w:szCs w:val="28"/>
        </w:rPr>
        <w:t>nf</w:t>
      </w:r>
      <w:proofErr w:type="spellEnd"/>
      <w:r w:rsidRPr="00CF6E08">
        <w:rPr>
          <w:rFonts w:ascii="Arial" w:eastAsia="Cambria" w:hAnsi="Arial" w:cs="Arial"/>
          <w:b/>
          <w:sz w:val="28"/>
          <w:szCs w:val="28"/>
        </w:rPr>
        <w:t>) best practices checklist 20</w:t>
      </w:r>
      <w:r w:rsidR="00CF6E08">
        <w:rPr>
          <w:rFonts w:ascii="Arial" w:eastAsia="Cambria" w:hAnsi="Arial" w:cs="Arial"/>
          <w:b/>
          <w:sz w:val="28"/>
          <w:szCs w:val="28"/>
        </w:rPr>
        <w:t>20</w:t>
      </w:r>
      <w:r w:rsidRPr="00CF6E08">
        <w:rPr>
          <w:rFonts w:ascii="Arial" w:eastAsia="Cambria" w:hAnsi="Arial" w:cs="Arial"/>
          <w:b/>
          <w:sz w:val="28"/>
          <w:szCs w:val="28"/>
        </w:rPr>
        <w:t>*</w:t>
      </w:r>
      <w:r w:rsidR="007E61C7" w:rsidRPr="00CF6E08">
        <w:rPr>
          <w:rFonts w:ascii="Arial" w:eastAsia="Cambria" w:hAnsi="Arial" w:cs="Arial"/>
          <w:b/>
          <w:sz w:val="28"/>
          <w:szCs w:val="28"/>
        </w:rPr>
        <w:t xml:space="preserve"> </w:t>
      </w:r>
      <w:r w:rsidR="007E61C7" w:rsidRPr="00CF6E08">
        <w:rPr>
          <w:rFonts w:ascii="Arial" w:eastAsia="Cambria" w:hAnsi="Arial" w:cs="Arial"/>
          <w:bCs/>
        </w:rPr>
        <w:t>(an online tool to complete th</w:t>
      </w:r>
      <w:r w:rsidR="00263D16" w:rsidRPr="00CF6E08">
        <w:rPr>
          <w:rFonts w:ascii="Arial" w:eastAsia="Cambria" w:hAnsi="Arial" w:cs="Arial"/>
          <w:bCs/>
        </w:rPr>
        <w:t>is</w:t>
      </w:r>
      <w:r w:rsidR="007E61C7" w:rsidRPr="00CF6E08">
        <w:rPr>
          <w:rFonts w:ascii="Arial" w:eastAsia="Cambria" w:hAnsi="Arial" w:cs="Arial"/>
          <w:bCs/>
        </w:rPr>
        <w:t xml:space="preserve"> checklist is available at </w:t>
      </w:r>
      <w:hyperlink r:id="rId8" w:tgtFrame="_blank" w:history="1">
        <w:hyperlink r:id="rId9" w:tgtFrame="_blank" w:history="1">
          <w:r w:rsidR="00263D16" w:rsidRPr="00CF6E08">
            <w:rPr>
              <w:rStyle w:val="Hyperlink"/>
              <w:rFonts w:ascii="Arial" w:hAnsi="Arial" w:cs="Arial"/>
              <w:color w:val="1155CC"/>
              <w:sz w:val="20"/>
              <w:szCs w:val="20"/>
              <w:shd w:val="clear" w:color="auto" w:fill="FFFFFF"/>
            </w:rPr>
            <w:t>rtfin.org/CREDnf</w:t>
          </w:r>
        </w:hyperlink>
      </w:hyperlink>
      <w:r w:rsidR="007E61C7" w:rsidRPr="00CF6E08">
        <w:rPr>
          <w:rFonts w:ascii="Arial" w:eastAsia="Cambria" w:hAnsi="Arial" w:cs="Arial"/>
          <w:bCs/>
        </w:rPr>
        <w:t>).</w:t>
      </w:r>
    </w:p>
    <w:p w14:paraId="5207554D" w14:textId="77777777" w:rsidR="00436C73" w:rsidRPr="007E61C7" w:rsidRDefault="00436C73">
      <w:pPr>
        <w:tabs>
          <w:tab w:val="left" w:pos="0"/>
          <w:tab w:val="left" w:pos="2160"/>
        </w:tabs>
        <w:spacing w:before="120" w:after="0" w:line="240" w:lineRule="auto"/>
        <w:jc w:val="center"/>
        <w:rPr>
          <w:rFonts w:ascii="Arial" w:eastAsia="Cambria" w:hAnsi="Arial" w:cs="Arial"/>
          <w:b/>
          <w:sz w:val="20"/>
          <w:szCs w:val="20"/>
        </w:rPr>
      </w:pPr>
    </w:p>
    <w:tbl>
      <w:tblPr>
        <w:tblStyle w:val="a2"/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993"/>
        <w:gridCol w:w="6580"/>
        <w:gridCol w:w="2237"/>
      </w:tblGrid>
      <w:tr w:rsidR="00436C73" w:rsidRPr="007E61C7" w14:paraId="130E147D" w14:textId="77777777" w:rsidTr="00C14ACD">
        <w:tc>
          <w:tcPr>
            <w:tcW w:w="1242" w:type="dxa"/>
            <w:shd w:val="clear" w:color="auto" w:fill="C6D9F1"/>
            <w:vAlign w:val="bottom"/>
          </w:tcPr>
          <w:p w14:paraId="7E604269" w14:textId="77777777" w:rsidR="00436C73" w:rsidRPr="007E61C7" w:rsidRDefault="00D102D7">
            <w:pP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b/>
                <w:sz w:val="20"/>
                <w:szCs w:val="20"/>
              </w:rPr>
              <w:t>Domain</w:t>
            </w:r>
          </w:p>
        </w:tc>
        <w:tc>
          <w:tcPr>
            <w:tcW w:w="993" w:type="dxa"/>
            <w:shd w:val="clear" w:color="auto" w:fill="C6D9F1"/>
            <w:vAlign w:val="bottom"/>
          </w:tcPr>
          <w:p w14:paraId="4DE0B55F" w14:textId="77777777" w:rsidR="00436C73" w:rsidRPr="007E61C7" w:rsidRDefault="00D102D7">
            <w:pP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b/>
                <w:sz w:val="20"/>
                <w:szCs w:val="20"/>
              </w:rPr>
              <w:t>Item #</w:t>
            </w:r>
          </w:p>
        </w:tc>
        <w:tc>
          <w:tcPr>
            <w:tcW w:w="6580" w:type="dxa"/>
            <w:shd w:val="clear" w:color="auto" w:fill="C6D9F1"/>
            <w:vAlign w:val="bottom"/>
          </w:tcPr>
          <w:p w14:paraId="409AE7D6" w14:textId="77777777" w:rsidR="00436C73" w:rsidRPr="007E61C7" w:rsidRDefault="00D102D7">
            <w:pP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b/>
                <w:sz w:val="20"/>
                <w:szCs w:val="20"/>
              </w:rPr>
              <w:t>Checklist item</w:t>
            </w:r>
          </w:p>
        </w:tc>
        <w:tc>
          <w:tcPr>
            <w:tcW w:w="2237" w:type="dxa"/>
            <w:shd w:val="clear" w:color="auto" w:fill="C6D9F1"/>
            <w:vAlign w:val="bottom"/>
          </w:tcPr>
          <w:p w14:paraId="11BCCCEB" w14:textId="34887AF5" w:rsidR="00436C73" w:rsidRPr="007E61C7" w:rsidRDefault="00D102D7">
            <w:pP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b/>
                <w:sz w:val="20"/>
                <w:szCs w:val="20"/>
              </w:rPr>
              <w:t xml:space="preserve">Reported </w:t>
            </w:r>
            <w:r w:rsidR="00C14ACD">
              <w:rPr>
                <w:rFonts w:ascii="Arial" w:eastAsia="Arial" w:hAnsi="Arial" w:cs="Arial"/>
                <w:b/>
                <w:sz w:val="20"/>
                <w:szCs w:val="20"/>
              </w:rPr>
              <w:t>Under Section Header</w:t>
            </w:r>
          </w:p>
        </w:tc>
      </w:tr>
      <w:tr w:rsidR="00436C73" w:rsidRPr="007E61C7" w14:paraId="65DC6A5A" w14:textId="77777777">
        <w:tc>
          <w:tcPr>
            <w:tcW w:w="11052" w:type="dxa"/>
            <w:gridSpan w:val="4"/>
          </w:tcPr>
          <w:p w14:paraId="1E34ACF8" w14:textId="77777777" w:rsidR="00436C73" w:rsidRPr="007E61C7" w:rsidRDefault="00D102D7">
            <w:pPr>
              <w:tabs>
                <w:tab w:val="left" w:pos="0"/>
              </w:tabs>
              <w:spacing w:before="12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b/>
                <w:sz w:val="20"/>
                <w:szCs w:val="20"/>
              </w:rPr>
              <w:t>Pre-experiment</w:t>
            </w:r>
          </w:p>
        </w:tc>
      </w:tr>
      <w:tr w:rsidR="00436C73" w:rsidRPr="007E61C7" w14:paraId="48D8A436" w14:textId="77777777" w:rsidTr="00C14ACD">
        <w:tc>
          <w:tcPr>
            <w:tcW w:w="1242" w:type="dxa"/>
            <w:vMerge w:val="restart"/>
          </w:tcPr>
          <w:p w14:paraId="53E8EABE" w14:textId="77777777" w:rsidR="00436C73" w:rsidRPr="007E61C7" w:rsidRDefault="00436C73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29825204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1a</w:t>
            </w:r>
          </w:p>
        </w:tc>
        <w:tc>
          <w:tcPr>
            <w:tcW w:w="6580" w:type="dxa"/>
          </w:tcPr>
          <w:p w14:paraId="079138E0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Pre-register experimental protocol and planned analyses</w:t>
            </w:r>
          </w:p>
        </w:tc>
        <w:tc>
          <w:tcPr>
            <w:tcW w:w="2237" w:type="dxa"/>
            <w:shd w:val="clear" w:color="auto" w:fill="E7E6E6"/>
          </w:tcPr>
          <w:p w14:paraId="693F9F8C" w14:textId="4FE0DC64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Trial Registration</w:t>
            </w:r>
          </w:p>
        </w:tc>
      </w:tr>
      <w:tr w:rsidR="00436C73" w:rsidRPr="007E61C7" w14:paraId="26A77F19" w14:textId="77777777" w:rsidTr="00C14ACD">
        <w:tc>
          <w:tcPr>
            <w:tcW w:w="1242" w:type="dxa"/>
            <w:vMerge/>
          </w:tcPr>
          <w:p w14:paraId="3A208A1A" w14:textId="77777777" w:rsidR="00436C73" w:rsidRPr="007E61C7" w:rsidRDefault="0043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0D5EE329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1b</w:t>
            </w:r>
          </w:p>
        </w:tc>
        <w:tc>
          <w:tcPr>
            <w:tcW w:w="6580" w:type="dxa"/>
          </w:tcPr>
          <w:p w14:paraId="0C3D5BF6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Justify sample size</w:t>
            </w:r>
          </w:p>
        </w:tc>
        <w:tc>
          <w:tcPr>
            <w:tcW w:w="2237" w:type="dxa"/>
            <w:shd w:val="clear" w:color="auto" w:fill="AEAAAA"/>
          </w:tcPr>
          <w:p w14:paraId="28FDAB75" w14:textId="0C78E921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  <w:highlight w:val="lightGray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lightGray"/>
              </w:rPr>
              <w:t>Power Calculation</w:t>
            </w:r>
          </w:p>
        </w:tc>
      </w:tr>
      <w:tr w:rsidR="00436C73" w:rsidRPr="007E61C7" w14:paraId="263EAA40" w14:textId="77777777">
        <w:tc>
          <w:tcPr>
            <w:tcW w:w="11052" w:type="dxa"/>
            <w:gridSpan w:val="4"/>
          </w:tcPr>
          <w:p w14:paraId="02C3A286" w14:textId="77777777" w:rsidR="00436C73" w:rsidRPr="007E61C7" w:rsidRDefault="00D102D7">
            <w:pPr>
              <w:tabs>
                <w:tab w:val="left" w:pos="0"/>
              </w:tabs>
              <w:spacing w:before="12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b/>
                <w:sz w:val="20"/>
                <w:szCs w:val="20"/>
              </w:rPr>
              <w:t>Control groups</w:t>
            </w:r>
          </w:p>
        </w:tc>
      </w:tr>
      <w:tr w:rsidR="00436C73" w:rsidRPr="007E61C7" w14:paraId="2345DC55" w14:textId="77777777" w:rsidTr="00C14ACD">
        <w:tc>
          <w:tcPr>
            <w:tcW w:w="1242" w:type="dxa"/>
            <w:vMerge w:val="restart"/>
          </w:tcPr>
          <w:p w14:paraId="4D161C3D" w14:textId="77777777" w:rsidR="00436C73" w:rsidRPr="007E61C7" w:rsidRDefault="00436C73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64462979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2a</w:t>
            </w:r>
          </w:p>
        </w:tc>
        <w:tc>
          <w:tcPr>
            <w:tcW w:w="6580" w:type="dxa"/>
          </w:tcPr>
          <w:p w14:paraId="72B1F493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Employ control group(s) or control condition(s)</w:t>
            </w:r>
          </w:p>
        </w:tc>
        <w:tc>
          <w:tcPr>
            <w:tcW w:w="2237" w:type="dxa"/>
            <w:shd w:val="clear" w:color="auto" w:fill="AEAAAA"/>
          </w:tcPr>
          <w:p w14:paraId="3000A1A4" w14:textId="098F7EC2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Randomization</w:t>
            </w:r>
          </w:p>
        </w:tc>
      </w:tr>
      <w:tr w:rsidR="00436C73" w:rsidRPr="007E61C7" w14:paraId="31DD6BBA" w14:textId="77777777" w:rsidTr="00C14ACD">
        <w:tc>
          <w:tcPr>
            <w:tcW w:w="1242" w:type="dxa"/>
            <w:vMerge/>
          </w:tcPr>
          <w:p w14:paraId="4A2274DB" w14:textId="77777777" w:rsidR="00436C73" w:rsidRPr="007E61C7" w:rsidRDefault="0043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26E9D671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2b</w:t>
            </w:r>
          </w:p>
        </w:tc>
        <w:tc>
          <w:tcPr>
            <w:tcW w:w="6580" w:type="dxa"/>
          </w:tcPr>
          <w:p w14:paraId="73D48191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When leveraging experimental designs where a double-blind is possible, use a double-blind</w:t>
            </w:r>
          </w:p>
        </w:tc>
        <w:tc>
          <w:tcPr>
            <w:tcW w:w="2237" w:type="dxa"/>
            <w:shd w:val="clear" w:color="auto" w:fill="AEAAAA"/>
          </w:tcPr>
          <w:p w14:paraId="3A7B93AF" w14:textId="2B8AEF59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436C73" w:rsidRPr="007E61C7" w14:paraId="5D0CE779" w14:textId="77777777" w:rsidTr="00C14ACD">
        <w:tc>
          <w:tcPr>
            <w:tcW w:w="1242" w:type="dxa"/>
            <w:vMerge/>
          </w:tcPr>
          <w:p w14:paraId="167A9F88" w14:textId="77777777" w:rsidR="00436C73" w:rsidRPr="007E61C7" w:rsidRDefault="0043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7946D987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2c</w:t>
            </w:r>
          </w:p>
        </w:tc>
        <w:tc>
          <w:tcPr>
            <w:tcW w:w="6580" w:type="dxa"/>
          </w:tcPr>
          <w:p w14:paraId="2E1407EE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Blind those who rate the outcomes, and when possible, the statisticians involved</w:t>
            </w:r>
          </w:p>
        </w:tc>
        <w:tc>
          <w:tcPr>
            <w:tcW w:w="2237" w:type="dxa"/>
            <w:shd w:val="clear" w:color="auto" w:fill="E7E6E6"/>
          </w:tcPr>
          <w:p w14:paraId="518100EA" w14:textId="4AC63598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Follow-up Assessment</w:t>
            </w:r>
          </w:p>
        </w:tc>
      </w:tr>
      <w:tr w:rsidR="00436C73" w:rsidRPr="007E61C7" w14:paraId="7D4D0492" w14:textId="77777777" w:rsidTr="00C14ACD">
        <w:tc>
          <w:tcPr>
            <w:tcW w:w="1242" w:type="dxa"/>
            <w:vMerge/>
          </w:tcPr>
          <w:p w14:paraId="5318FE53" w14:textId="77777777" w:rsidR="00436C73" w:rsidRPr="007E61C7" w:rsidRDefault="0043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00E1892D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2d</w:t>
            </w:r>
          </w:p>
        </w:tc>
        <w:tc>
          <w:tcPr>
            <w:tcW w:w="6580" w:type="dxa"/>
          </w:tcPr>
          <w:p w14:paraId="675840B6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Examine to what extent participants and experimenters remain blinded</w:t>
            </w:r>
          </w:p>
        </w:tc>
        <w:tc>
          <w:tcPr>
            <w:tcW w:w="2237" w:type="dxa"/>
            <w:shd w:val="clear" w:color="auto" w:fill="E7E6E6"/>
          </w:tcPr>
          <w:p w14:paraId="3FB77D41" w14:textId="216052CC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Participants: N/A, Experimenters: No</w:t>
            </w:r>
          </w:p>
        </w:tc>
      </w:tr>
      <w:tr w:rsidR="00436C73" w:rsidRPr="007E61C7" w14:paraId="3E174087" w14:textId="77777777" w:rsidTr="00C14ACD">
        <w:tc>
          <w:tcPr>
            <w:tcW w:w="1242" w:type="dxa"/>
            <w:vMerge/>
          </w:tcPr>
          <w:p w14:paraId="0EB54CB4" w14:textId="77777777" w:rsidR="00436C73" w:rsidRPr="007E61C7" w:rsidRDefault="0043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5C4C4C03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2e</w:t>
            </w:r>
          </w:p>
        </w:tc>
        <w:tc>
          <w:tcPr>
            <w:tcW w:w="6580" w:type="dxa"/>
          </w:tcPr>
          <w:p w14:paraId="760CF8E3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In clinical efficacy studies, employ a standard-of-care intervention group as a benchmark for improvement</w:t>
            </w:r>
          </w:p>
        </w:tc>
        <w:tc>
          <w:tcPr>
            <w:tcW w:w="2237" w:type="dxa"/>
            <w:shd w:val="clear" w:color="auto" w:fill="E7E6E6"/>
          </w:tcPr>
          <w:p w14:paraId="6AB50896" w14:textId="1D35D716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436C73" w:rsidRPr="007E61C7" w14:paraId="096FD67E" w14:textId="77777777">
        <w:tc>
          <w:tcPr>
            <w:tcW w:w="11052" w:type="dxa"/>
            <w:gridSpan w:val="4"/>
          </w:tcPr>
          <w:p w14:paraId="1D135350" w14:textId="77777777" w:rsidR="00436C73" w:rsidRPr="007E61C7" w:rsidRDefault="00D102D7">
            <w:pPr>
              <w:tabs>
                <w:tab w:val="left" w:pos="0"/>
              </w:tabs>
              <w:spacing w:before="12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b/>
                <w:sz w:val="20"/>
                <w:szCs w:val="20"/>
              </w:rPr>
              <w:t>Control measures</w:t>
            </w:r>
          </w:p>
        </w:tc>
      </w:tr>
      <w:tr w:rsidR="00436C73" w:rsidRPr="007E61C7" w14:paraId="50642F12" w14:textId="77777777" w:rsidTr="00C14ACD">
        <w:trPr>
          <w:trHeight w:val="300"/>
        </w:trPr>
        <w:tc>
          <w:tcPr>
            <w:tcW w:w="1242" w:type="dxa"/>
            <w:vMerge w:val="restart"/>
          </w:tcPr>
          <w:p w14:paraId="22845C9E" w14:textId="77777777" w:rsidR="00436C73" w:rsidRPr="007E61C7" w:rsidRDefault="00436C73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4AE1DFC1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3a</w:t>
            </w:r>
          </w:p>
        </w:tc>
        <w:tc>
          <w:tcPr>
            <w:tcW w:w="6580" w:type="dxa"/>
          </w:tcPr>
          <w:p w14:paraId="5651DE75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Collect data on psychosocial factors</w:t>
            </w:r>
          </w:p>
        </w:tc>
        <w:tc>
          <w:tcPr>
            <w:tcW w:w="2237" w:type="dxa"/>
            <w:shd w:val="clear" w:color="auto" w:fill="E7E6E6"/>
          </w:tcPr>
          <w:p w14:paraId="1DD00533" w14:textId="6666F925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MRI Visit</w:t>
            </w:r>
          </w:p>
        </w:tc>
      </w:tr>
      <w:tr w:rsidR="00436C73" w:rsidRPr="007E61C7" w14:paraId="603BD25A" w14:textId="77777777" w:rsidTr="00C14ACD">
        <w:tc>
          <w:tcPr>
            <w:tcW w:w="1242" w:type="dxa"/>
            <w:vMerge/>
          </w:tcPr>
          <w:p w14:paraId="2E6EB290" w14:textId="77777777" w:rsidR="00436C73" w:rsidRPr="007E61C7" w:rsidRDefault="0043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67C4FCCD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3b</w:t>
            </w:r>
          </w:p>
        </w:tc>
        <w:tc>
          <w:tcPr>
            <w:tcW w:w="6580" w:type="dxa"/>
          </w:tcPr>
          <w:p w14:paraId="0B23310C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Report whether participants were provided with a strategy</w:t>
            </w:r>
          </w:p>
        </w:tc>
        <w:tc>
          <w:tcPr>
            <w:tcW w:w="2237" w:type="dxa"/>
            <w:shd w:val="clear" w:color="auto" w:fill="AEAAAA"/>
          </w:tcPr>
          <w:p w14:paraId="601D5467" w14:textId="5ABAD72E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Mindfulness Training &amp; Mindfulness-based Real-time Neurofeedback Procedure</w:t>
            </w:r>
          </w:p>
        </w:tc>
      </w:tr>
      <w:tr w:rsidR="00436C73" w:rsidRPr="007E61C7" w14:paraId="4DC1A2A2" w14:textId="77777777" w:rsidTr="00C14ACD">
        <w:tc>
          <w:tcPr>
            <w:tcW w:w="1242" w:type="dxa"/>
            <w:vMerge/>
          </w:tcPr>
          <w:p w14:paraId="7201A5DA" w14:textId="77777777" w:rsidR="00436C73" w:rsidRPr="007E61C7" w:rsidRDefault="0043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44449042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3c</w:t>
            </w:r>
          </w:p>
        </w:tc>
        <w:tc>
          <w:tcPr>
            <w:tcW w:w="6580" w:type="dxa"/>
          </w:tcPr>
          <w:p w14:paraId="155F1BC1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Report the strategies participants used</w:t>
            </w:r>
          </w:p>
        </w:tc>
        <w:tc>
          <w:tcPr>
            <w:tcW w:w="2237" w:type="dxa"/>
            <w:shd w:val="clear" w:color="auto" w:fill="E7E6E6"/>
          </w:tcPr>
          <w:p w14:paraId="7CB8848A" w14:textId="67E4AC00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MRI Visit</w:t>
            </w:r>
          </w:p>
        </w:tc>
      </w:tr>
      <w:tr w:rsidR="00436C73" w:rsidRPr="007E61C7" w14:paraId="6184499D" w14:textId="77777777" w:rsidTr="00C14ACD">
        <w:tc>
          <w:tcPr>
            <w:tcW w:w="1242" w:type="dxa"/>
            <w:vMerge/>
          </w:tcPr>
          <w:p w14:paraId="18890E79" w14:textId="77777777" w:rsidR="00436C73" w:rsidRPr="007E61C7" w:rsidRDefault="0043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5CFD07D4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3d</w:t>
            </w:r>
          </w:p>
        </w:tc>
        <w:tc>
          <w:tcPr>
            <w:tcW w:w="6580" w:type="dxa"/>
          </w:tcPr>
          <w:p w14:paraId="722241FB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Report methods used for online-data processing and artifact correction</w:t>
            </w:r>
          </w:p>
        </w:tc>
        <w:tc>
          <w:tcPr>
            <w:tcW w:w="2237" w:type="dxa"/>
            <w:shd w:val="clear" w:color="auto" w:fill="AEAAAA"/>
          </w:tcPr>
          <w:p w14:paraId="274A1E97" w14:textId="2C6FFC91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Real-time Neurofeedback Operationalization</w:t>
            </w:r>
          </w:p>
        </w:tc>
      </w:tr>
      <w:tr w:rsidR="00436C73" w:rsidRPr="007E61C7" w14:paraId="2BDFB29D" w14:textId="77777777" w:rsidTr="00C14ACD">
        <w:tc>
          <w:tcPr>
            <w:tcW w:w="1242" w:type="dxa"/>
            <w:vMerge/>
          </w:tcPr>
          <w:p w14:paraId="2B09062B" w14:textId="77777777" w:rsidR="00436C73" w:rsidRPr="007E61C7" w:rsidRDefault="0043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143E7C4F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3e</w:t>
            </w:r>
          </w:p>
        </w:tc>
        <w:tc>
          <w:tcPr>
            <w:tcW w:w="6580" w:type="dxa"/>
          </w:tcPr>
          <w:p w14:paraId="3C33B0A0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Report condition and group effects for artifacts</w:t>
            </w:r>
          </w:p>
        </w:tc>
        <w:tc>
          <w:tcPr>
            <w:tcW w:w="2237" w:type="dxa"/>
            <w:shd w:val="clear" w:color="auto" w:fill="E7E6E6"/>
          </w:tcPr>
          <w:p w14:paraId="260BC05F" w14:textId="507266C7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436C73" w:rsidRPr="007E61C7" w14:paraId="3FC6FDB1" w14:textId="77777777">
        <w:tc>
          <w:tcPr>
            <w:tcW w:w="11052" w:type="dxa"/>
            <w:gridSpan w:val="4"/>
          </w:tcPr>
          <w:p w14:paraId="3FD3EA0E" w14:textId="77777777" w:rsidR="00436C73" w:rsidRPr="007E61C7" w:rsidRDefault="00D102D7">
            <w:pPr>
              <w:tabs>
                <w:tab w:val="left" w:pos="0"/>
              </w:tabs>
              <w:spacing w:before="12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b/>
                <w:sz w:val="20"/>
                <w:szCs w:val="20"/>
              </w:rPr>
              <w:t>Feedback specifications</w:t>
            </w:r>
          </w:p>
        </w:tc>
      </w:tr>
      <w:tr w:rsidR="00436C73" w:rsidRPr="007E61C7" w14:paraId="413D5478" w14:textId="77777777" w:rsidTr="00C14ACD">
        <w:tc>
          <w:tcPr>
            <w:tcW w:w="1242" w:type="dxa"/>
            <w:vMerge w:val="restart"/>
            <w:vAlign w:val="center"/>
          </w:tcPr>
          <w:p w14:paraId="4FFF4AA3" w14:textId="77777777" w:rsidR="00436C73" w:rsidRPr="007E61C7" w:rsidRDefault="00436C7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0FDF392B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4a</w:t>
            </w:r>
          </w:p>
        </w:tc>
        <w:tc>
          <w:tcPr>
            <w:tcW w:w="6580" w:type="dxa"/>
          </w:tcPr>
          <w:p w14:paraId="01A0D3F5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Report how the online-feature extraction was defined</w:t>
            </w:r>
          </w:p>
        </w:tc>
        <w:tc>
          <w:tcPr>
            <w:tcW w:w="2237" w:type="dxa"/>
            <w:shd w:val="clear" w:color="auto" w:fill="AEAAAA"/>
          </w:tcPr>
          <w:p w14:paraId="11F00D5D" w14:textId="373D2F1D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Real-time Neurofeedback Operationalization</w:t>
            </w:r>
          </w:p>
        </w:tc>
      </w:tr>
      <w:tr w:rsidR="00436C73" w:rsidRPr="007E61C7" w14:paraId="59B55FCD" w14:textId="77777777" w:rsidTr="00C14ACD">
        <w:tc>
          <w:tcPr>
            <w:tcW w:w="1242" w:type="dxa"/>
            <w:vMerge/>
            <w:vAlign w:val="center"/>
          </w:tcPr>
          <w:p w14:paraId="68DE60F6" w14:textId="77777777" w:rsidR="00436C73" w:rsidRPr="007E61C7" w:rsidRDefault="0043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363AABF6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4b</w:t>
            </w:r>
          </w:p>
        </w:tc>
        <w:tc>
          <w:tcPr>
            <w:tcW w:w="6580" w:type="dxa"/>
          </w:tcPr>
          <w:p w14:paraId="03E3DA1B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Report and justify the reinforcement schedule</w:t>
            </w:r>
          </w:p>
        </w:tc>
        <w:tc>
          <w:tcPr>
            <w:tcW w:w="2237" w:type="dxa"/>
            <w:shd w:val="clear" w:color="auto" w:fill="AEAAAA"/>
          </w:tcPr>
          <w:p w14:paraId="5732FA33" w14:textId="0BA7A03F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Mindfulness-based Real-time Neurofeedback Procedure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&amp; </w:t>
            </w:r>
            <w:r>
              <w:rPr>
                <w:rFonts w:ascii="Arial" w:eastAsia="Arial" w:hAnsi="Arial" w:cs="Arial"/>
                <w:sz w:val="20"/>
                <w:szCs w:val="20"/>
              </w:rPr>
              <w:t>Real-time Neurofeedback Operationalization</w:t>
            </w:r>
          </w:p>
        </w:tc>
      </w:tr>
      <w:tr w:rsidR="00436C73" w:rsidRPr="007E61C7" w14:paraId="516A3AC1" w14:textId="77777777" w:rsidTr="00C14ACD">
        <w:tc>
          <w:tcPr>
            <w:tcW w:w="1242" w:type="dxa"/>
            <w:vMerge/>
            <w:vAlign w:val="center"/>
          </w:tcPr>
          <w:p w14:paraId="1E291D2E" w14:textId="77777777" w:rsidR="00436C73" w:rsidRPr="007E61C7" w:rsidRDefault="0043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2A514228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4c</w:t>
            </w:r>
          </w:p>
        </w:tc>
        <w:tc>
          <w:tcPr>
            <w:tcW w:w="6580" w:type="dxa"/>
          </w:tcPr>
          <w:p w14:paraId="0A63C736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Report the feedback modality and content</w:t>
            </w:r>
          </w:p>
        </w:tc>
        <w:tc>
          <w:tcPr>
            <w:tcW w:w="2237" w:type="dxa"/>
            <w:shd w:val="clear" w:color="auto" w:fill="AEAAAA"/>
          </w:tcPr>
          <w:p w14:paraId="30DE0B74" w14:textId="2FF3CC4C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Mindfulness-based Real-time Neurofeedback Procedure</w:t>
            </w:r>
          </w:p>
        </w:tc>
      </w:tr>
      <w:tr w:rsidR="00436C73" w:rsidRPr="007E61C7" w14:paraId="14F8EE71" w14:textId="77777777" w:rsidTr="00C14ACD">
        <w:tc>
          <w:tcPr>
            <w:tcW w:w="1242" w:type="dxa"/>
            <w:vMerge/>
            <w:vAlign w:val="center"/>
          </w:tcPr>
          <w:p w14:paraId="735CE13E" w14:textId="77777777" w:rsidR="00436C73" w:rsidRPr="007E61C7" w:rsidRDefault="0043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4D39ED47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4d</w:t>
            </w:r>
          </w:p>
        </w:tc>
        <w:tc>
          <w:tcPr>
            <w:tcW w:w="6580" w:type="dxa"/>
          </w:tcPr>
          <w:p w14:paraId="42508A0B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Collect and report all brain activity variable(s) and/or contrasts used for feedback, as displayed to experimental participants</w:t>
            </w:r>
          </w:p>
        </w:tc>
        <w:tc>
          <w:tcPr>
            <w:tcW w:w="2237" w:type="dxa"/>
            <w:shd w:val="clear" w:color="auto" w:fill="AEAAAA"/>
          </w:tcPr>
          <w:p w14:paraId="26CCAC41" w14:textId="578A04F6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Mindfulness-based Real-time Neurofeedback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Procedure &amp; Real-time Neurofeedback Operationalization</w:t>
            </w:r>
          </w:p>
        </w:tc>
      </w:tr>
      <w:tr w:rsidR="00436C73" w:rsidRPr="007E61C7" w14:paraId="29BF0BB1" w14:textId="77777777" w:rsidTr="00C14ACD">
        <w:tc>
          <w:tcPr>
            <w:tcW w:w="1242" w:type="dxa"/>
            <w:vMerge/>
            <w:vAlign w:val="center"/>
          </w:tcPr>
          <w:p w14:paraId="2CE01AB3" w14:textId="77777777" w:rsidR="00436C73" w:rsidRPr="007E61C7" w:rsidRDefault="00436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2C6D20F7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4e</w:t>
            </w:r>
          </w:p>
        </w:tc>
        <w:tc>
          <w:tcPr>
            <w:tcW w:w="6580" w:type="dxa"/>
          </w:tcPr>
          <w:p w14:paraId="719678B2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Report the hardware and software used</w:t>
            </w:r>
          </w:p>
        </w:tc>
        <w:tc>
          <w:tcPr>
            <w:tcW w:w="2237" w:type="dxa"/>
            <w:shd w:val="clear" w:color="auto" w:fill="AEAAAA"/>
          </w:tcPr>
          <w:p w14:paraId="34A1441E" w14:textId="4CB92E76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MRI Session 1 (Functional Localizer) &amp; </w:t>
            </w:r>
            <w:r>
              <w:rPr>
                <w:rFonts w:ascii="Arial" w:eastAsia="Arial" w:hAnsi="Arial" w:cs="Arial"/>
                <w:sz w:val="20"/>
                <w:szCs w:val="20"/>
              </w:rPr>
              <w:t>Mindfulness-based Real-time Neurofeedback Procedure</w:t>
            </w:r>
          </w:p>
        </w:tc>
      </w:tr>
      <w:tr w:rsidR="00436C73" w:rsidRPr="007E61C7" w14:paraId="53664BCC" w14:textId="77777777">
        <w:tc>
          <w:tcPr>
            <w:tcW w:w="11052" w:type="dxa"/>
            <w:gridSpan w:val="4"/>
          </w:tcPr>
          <w:p w14:paraId="21304225" w14:textId="2430F824" w:rsidR="00436C73" w:rsidRPr="007E61C7" w:rsidRDefault="00D102D7">
            <w:pPr>
              <w:tabs>
                <w:tab w:val="left" w:pos="0"/>
              </w:tabs>
              <w:spacing w:before="12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b/>
                <w:sz w:val="20"/>
                <w:szCs w:val="20"/>
              </w:rPr>
              <w:t>Outcome measures</w:t>
            </w:r>
            <w:r w:rsidR="00C14ACD">
              <w:rPr>
                <w:rFonts w:ascii="Arial" w:eastAsia="Arial" w:hAnsi="Arial" w:cs="Arial"/>
                <w:b/>
                <w:sz w:val="20"/>
                <w:szCs w:val="20"/>
              </w:rPr>
              <w:t xml:space="preserve"> (N/A because this is a trial protocol, and no data have been collected yet)</w:t>
            </w:r>
          </w:p>
        </w:tc>
      </w:tr>
      <w:tr w:rsidR="00436C73" w:rsidRPr="007E61C7" w14:paraId="442F16FD" w14:textId="77777777" w:rsidTr="00C14ACD">
        <w:tc>
          <w:tcPr>
            <w:tcW w:w="1242" w:type="dxa"/>
          </w:tcPr>
          <w:p w14:paraId="1676C075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Brain</w:t>
            </w:r>
          </w:p>
        </w:tc>
        <w:tc>
          <w:tcPr>
            <w:tcW w:w="993" w:type="dxa"/>
          </w:tcPr>
          <w:p w14:paraId="64C1F8D5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5a</w:t>
            </w:r>
          </w:p>
        </w:tc>
        <w:tc>
          <w:tcPr>
            <w:tcW w:w="6580" w:type="dxa"/>
          </w:tcPr>
          <w:p w14:paraId="0073E34B" w14:textId="77777777" w:rsidR="00436C73" w:rsidRPr="007E61C7" w:rsidRDefault="00D102D7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Report neurofeedback regulation success based on the feedback signal</w:t>
            </w:r>
          </w:p>
        </w:tc>
        <w:tc>
          <w:tcPr>
            <w:tcW w:w="2237" w:type="dxa"/>
            <w:shd w:val="clear" w:color="auto" w:fill="AEAAAA"/>
          </w:tcPr>
          <w:p w14:paraId="78E35489" w14:textId="6C4B21C7" w:rsidR="00436C73" w:rsidRPr="007E61C7" w:rsidRDefault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C14ACD" w:rsidRPr="007E61C7" w14:paraId="756CE098" w14:textId="77777777" w:rsidTr="00C14ACD">
        <w:tc>
          <w:tcPr>
            <w:tcW w:w="1242" w:type="dxa"/>
          </w:tcPr>
          <w:p w14:paraId="5D91B9A8" w14:textId="77777777" w:rsidR="00C14ACD" w:rsidRPr="007E61C7" w:rsidRDefault="00C14ACD" w:rsidP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3A8C4264" w14:textId="77777777" w:rsidR="00C14ACD" w:rsidRPr="007E61C7" w:rsidRDefault="00C14ACD" w:rsidP="00C14ACD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5b</w:t>
            </w:r>
          </w:p>
        </w:tc>
        <w:tc>
          <w:tcPr>
            <w:tcW w:w="6580" w:type="dxa"/>
          </w:tcPr>
          <w:p w14:paraId="31DBC06F" w14:textId="77777777" w:rsidR="00C14ACD" w:rsidRPr="007E61C7" w:rsidRDefault="00C14ACD" w:rsidP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Plot within-session and between-session regulation blocks of feedback variable(s), as well as pre-to-post resting baselines or contrasts</w:t>
            </w:r>
          </w:p>
        </w:tc>
        <w:tc>
          <w:tcPr>
            <w:tcW w:w="2237" w:type="dxa"/>
            <w:shd w:val="clear" w:color="auto" w:fill="AEAAAA"/>
          </w:tcPr>
          <w:p w14:paraId="56722E73" w14:textId="5B23922C" w:rsidR="00C14ACD" w:rsidRPr="007E61C7" w:rsidRDefault="00C14ACD" w:rsidP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C14ACD" w:rsidRPr="007E61C7" w14:paraId="20BB9653" w14:textId="77777777" w:rsidTr="00C14ACD">
        <w:tc>
          <w:tcPr>
            <w:tcW w:w="1242" w:type="dxa"/>
          </w:tcPr>
          <w:p w14:paraId="6CF119DB" w14:textId="77777777" w:rsidR="00C14ACD" w:rsidRPr="007E61C7" w:rsidRDefault="00C14ACD" w:rsidP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7879E376" w14:textId="77777777" w:rsidR="00C14ACD" w:rsidRPr="007E61C7" w:rsidRDefault="00C14ACD" w:rsidP="00C14ACD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5c</w:t>
            </w:r>
          </w:p>
        </w:tc>
        <w:tc>
          <w:tcPr>
            <w:tcW w:w="6580" w:type="dxa"/>
          </w:tcPr>
          <w:p w14:paraId="77181E46" w14:textId="77777777" w:rsidR="00C14ACD" w:rsidRPr="007E61C7" w:rsidRDefault="00C14ACD" w:rsidP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Statistically compare the experimental condition/group to the control condition(s)/group(s) (not only each group to baseline measures)</w:t>
            </w:r>
          </w:p>
        </w:tc>
        <w:tc>
          <w:tcPr>
            <w:tcW w:w="2237" w:type="dxa"/>
            <w:shd w:val="clear" w:color="auto" w:fill="AEAAAA"/>
          </w:tcPr>
          <w:p w14:paraId="734E5FBC" w14:textId="58A0C793" w:rsidR="00C14ACD" w:rsidRPr="007E61C7" w:rsidRDefault="00C14ACD" w:rsidP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C14ACD" w:rsidRPr="007E61C7" w14:paraId="4968754F" w14:textId="77777777" w:rsidTr="00C14ACD">
        <w:tc>
          <w:tcPr>
            <w:tcW w:w="1242" w:type="dxa"/>
          </w:tcPr>
          <w:p w14:paraId="5782BEB3" w14:textId="77777777" w:rsidR="00C14ACD" w:rsidRPr="007E61C7" w:rsidRDefault="00C14ACD" w:rsidP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7E61C7">
              <w:rPr>
                <w:rFonts w:ascii="Arial" w:eastAsia="Arial" w:hAnsi="Arial" w:cs="Arial"/>
                <w:sz w:val="20"/>
                <w:szCs w:val="20"/>
              </w:rPr>
              <w:t>Behaviour</w:t>
            </w:r>
            <w:proofErr w:type="spellEnd"/>
          </w:p>
        </w:tc>
        <w:tc>
          <w:tcPr>
            <w:tcW w:w="993" w:type="dxa"/>
          </w:tcPr>
          <w:p w14:paraId="4DDABCFB" w14:textId="77777777" w:rsidR="00C14ACD" w:rsidRPr="007E61C7" w:rsidRDefault="00C14ACD" w:rsidP="00C14ACD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6a</w:t>
            </w:r>
          </w:p>
        </w:tc>
        <w:tc>
          <w:tcPr>
            <w:tcW w:w="6580" w:type="dxa"/>
          </w:tcPr>
          <w:p w14:paraId="5B90CEDC" w14:textId="77777777" w:rsidR="00C14ACD" w:rsidRPr="007E61C7" w:rsidRDefault="00C14ACD" w:rsidP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 xml:space="preserve">Include measures of clinical or </w:t>
            </w:r>
            <w:proofErr w:type="spellStart"/>
            <w:r w:rsidRPr="007E61C7">
              <w:rPr>
                <w:rFonts w:ascii="Arial" w:eastAsia="Arial" w:hAnsi="Arial" w:cs="Arial"/>
                <w:sz w:val="20"/>
                <w:szCs w:val="20"/>
              </w:rPr>
              <w:t>behavioural</w:t>
            </w:r>
            <w:proofErr w:type="spellEnd"/>
            <w:r w:rsidRPr="007E61C7">
              <w:rPr>
                <w:rFonts w:ascii="Arial" w:eastAsia="Arial" w:hAnsi="Arial" w:cs="Arial"/>
                <w:sz w:val="20"/>
                <w:szCs w:val="20"/>
              </w:rPr>
              <w:t xml:space="preserve"> significance, defined a priori, and describe whether they were reached</w:t>
            </w:r>
          </w:p>
        </w:tc>
        <w:tc>
          <w:tcPr>
            <w:tcW w:w="2237" w:type="dxa"/>
            <w:shd w:val="clear" w:color="auto" w:fill="AEAAAA"/>
          </w:tcPr>
          <w:p w14:paraId="5D5CBA6B" w14:textId="1BF874D1" w:rsidR="00C14ACD" w:rsidRPr="007E61C7" w:rsidRDefault="00C14ACD" w:rsidP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C14ACD" w:rsidRPr="007E61C7" w14:paraId="55ABC0BF" w14:textId="77777777" w:rsidTr="00C14ACD">
        <w:tc>
          <w:tcPr>
            <w:tcW w:w="1242" w:type="dxa"/>
          </w:tcPr>
          <w:p w14:paraId="47693AC1" w14:textId="77777777" w:rsidR="00C14ACD" w:rsidRPr="007E61C7" w:rsidRDefault="00C14ACD" w:rsidP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14:paraId="2AFFDCE6" w14:textId="77777777" w:rsidR="00C14ACD" w:rsidRPr="007E61C7" w:rsidRDefault="00C14ACD" w:rsidP="00C14ACD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6b</w:t>
            </w:r>
          </w:p>
        </w:tc>
        <w:tc>
          <w:tcPr>
            <w:tcW w:w="6580" w:type="dxa"/>
            <w:vAlign w:val="center"/>
          </w:tcPr>
          <w:p w14:paraId="34CA34C7" w14:textId="77777777" w:rsidR="00C14ACD" w:rsidRPr="007E61C7" w:rsidRDefault="00C14ACD" w:rsidP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 xml:space="preserve">Run correlational analyses between regulation success and </w:t>
            </w:r>
            <w:proofErr w:type="spellStart"/>
            <w:r w:rsidRPr="007E61C7">
              <w:rPr>
                <w:rFonts w:ascii="Arial" w:eastAsia="Arial" w:hAnsi="Arial" w:cs="Arial"/>
                <w:sz w:val="20"/>
                <w:szCs w:val="20"/>
              </w:rPr>
              <w:t>behavioural</w:t>
            </w:r>
            <w:proofErr w:type="spellEnd"/>
            <w:r w:rsidRPr="007E61C7">
              <w:rPr>
                <w:rFonts w:ascii="Arial" w:eastAsia="Arial" w:hAnsi="Arial" w:cs="Arial"/>
                <w:sz w:val="20"/>
                <w:szCs w:val="20"/>
              </w:rPr>
              <w:t xml:space="preserve"> outcomes</w:t>
            </w:r>
          </w:p>
        </w:tc>
        <w:tc>
          <w:tcPr>
            <w:tcW w:w="2237" w:type="dxa"/>
            <w:shd w:val="clear" w:color="auto" w:fill="AEAAAA"/>
          </w:tcPr>
          <w:p w14:paraId="4C578C3C" w14:textId="19450C79" w:rsidR="00C14ACD" w:rsidRPr="007E61C7" w:rsidRDefault="00C14ACD" w:rsidP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C14ACD" w:rsidRPr="007E61C7" w14:paraId="1B62E945" w14:textId="77777777" w:rsidTr="00C14ACD">
        <w:tc>
          <w:tcPr>
            <w:tcW w:w="8815" w:type="dxa"/>
            <w:gridSpan w:val="3"/>
          </w:tcPr>
          <w:p w14:paraId="390E4F41" w14:textId="77777777" w:rsidR="00C14ACD" w:rsidRPr="007E61C7" w:rsidRDefault="00C14ACD" w:rsidP="00C14ACD">
            <w:pPr>
              <w:tabs>
                <w:tab w:val="left" w:pos="0"/>
              </w:tabs>
              <w:spacing w:before="12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b/>
                <w:sz w:val="20"/>
                <w:szCs w:val="20"/>
              </w:rPr>
              <w:t>Data storage</w:t>
            </w:r>
          </w:p>
        </w:tc>
        <w:tc>
          <w:tcPr>
            <w:tcW w:w="2237" w:type="dxa"/>
          </w:tcPr>
          <w:p w14:paraId="750351B8" w14:textId="77777777" w:rsidR="00C14ACD" w:rsidRPr="007E61C7" w:rsidRDefault="00C14ACD" w:rsidP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14ACD" w:rsidRPr="007E61C7" w14:paraId="0D6533EE" w14:textId="77777777" w:rsidTr="00C14ACD">
        <w:tc>
          <w:tcPr>
            <w:tcW w:w="1242" w:type="dxa"/>
          </w:tcPr>
          <w:p w14:paraId="3C9BC56C" w14:textId="77777777" w:rsidR="00C14ACD" w:rsidRPr="007E61C7" w:rsidRDefault="00C14ACD" w:rsidP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i/>
                <w:smallCaps/>
                <w:sz w:val="20"/>
                <w:szCs w:val="20"/>
              </w:rPr>
            </w:pPr>
          </w:p>
        </w:tc>
        <w:tc>
          <w:tcPr>
            <w:tcW w:w="993" w:type="dxa"/>
          </w:tcPr>
          <w:p w14:paraId="3EF19368" w14:textId="77777777" w:rsidR="00C14ACD" w:rsidRPr="007E61C7" w:rsidRDefault="00C14ACD" w:rsidP="00C14ACD">
            <w:pPr>
              <w:tabs>
                <w:tab w:val="left" w:pos="0"/>
              </w:tabs>
              <w:spacing w:line="3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7a</w:t>
            </w:r>
          </w:p>
        </w:tc>
        <w:tc>
          <w:tcPr>
            <w:tcW w:w="6580" w:type="dxa"/>
          </w:tcPr>
          <w:p w14:paraId="54B0C815" w14:textId="77777777" w:rsidR="00C14ACD" w:rsidRPr="007E61C7" w:rsidRDefault="00C14ACD" w:rsidP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E61C7">
              <w:rPr>
                <w:rFonts w:ascii="Arial" w:eastAsia="Arial" w:hAnsi="Arial" w:cs="Arial"/>
                <w:sz w:val="20"/>
                <w:szCs w:val="20"/>
              </w:rPr>
              <w:t>Upload all materials, analysis scripts, code, and raw data used for analyses, as well as final values, to an open access data repository, when feasible</w:t>
            </w:r>
          </w:p>
        </w:tc>
        <w:tc>
          <w:tcPr>
            <w:tcW w:w="2237" w:type="dxa"/>
            <w:shd w:val="clear" w:color="auto" w:fill="E7E6E6"/>
          </w:tcPr>
          <w:p w14:paraId="1CF8BC86" w14:textId="4E1110C6" w:rsidR="00C14ACD" w:rsidRPr="007E61C7" w:rsidRDefault="00C14ACD" w:rsidP="00C14ACD">
            <w:pPr>
              <w:tabs>
                <w:tab w:val="left" w:pos="0"/>
              </w:tabs>
              <w:spacing w:line="30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All materials: </w:t>
            </w:r>
            <w:hyperlink r:id="rId10" w:history="1">
              <w:r w:rsidR="00DA6A8D" w:rsidRPr="006C459D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https://github.com/pab2163/mindful_brain_project</w:t>
              </w:r>
            </w:hyperlink>
            <w:r w:rsidR="00DA6A8D">
              <w:rPr>
                <w:rFonts w:ascii="Arial" w:eastAsia="Arial" w:hAnsi="Arial" w:cs="Arial"/>
                <w:sz w:val="20"/>
                <w:szCs w:val="20"/>
              </w:rPr>
              <w:t xml:space="preserve">, also see Data Management and </w:t>
            </w:r>
            <w:proofErr w:type="spellStart"/>
            <w:r w:rsidR="00DA6A8D">
              <w:rPr>
                <w:rFonts w:ascii="Arial" w:eastAsia="Arial" w:hAnsi="Arial" w:cs="Arial"/>
                <w:sz w:val="20"/>
                <w:szCs w:val="20"/>
              </w:rPr>
              <w:t>Dissemenation</w:t>
            </w:r>
            <w:proofErr w:type="spellEnd"/>
          </w:p>
        </w:tc>
      </w:tr>
    </w:tbl>
    <w:p w14:paraId="7E85DD5E" w14:textId="77777777" w:rsidR="00436C73" w:rsidRPr="007E61C7" w:rsidRDefault="00436C73" w:rsidP="007E61C7">
      <w:pPr>
        <w:tabs>
          <w:tab w:val="left" w:pos="0"/>
          <w:tab w:val="left" w:pos="4830"/>
        </w:tabs>
        <w:spacing w:after="0" w:line="30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01FA5D65" w14:textId="59D8C799" w:rsidR="00436C73" w:rsidRPr="00423565" w:rsidRDefault="00D102D7" w:rsidP="00CF6E08">
      <w:pPr>
        <w:tabs>
          <w:tab w:val="left" w:pos="0"/>
        </w:tabs>
        <w:spacing w:after="0" w:line="276" w:lineRule="auto"/>
        <w:ind w:right="-5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1C7">
        <w:rPr>
          <w:rFonts w:ascii="Arial" w:eastAsia="Times New Roman" w:hAnsi="Arial" w:cs="Arial"/>
          <w:sz w:val="20"/>
          <w:szCs w:val="20"/>
        </w:rPr>
        <w:t xml:space="preserve">*Darker shaded boxes represent </w:t>
      </w:r>
      <w:r w:rsidRPr="007E61C7">
        <w:rPr>
          <w:rFonts w:ascii="Arial" w:eastAsia="Times New Roman" w:hAnsi="Arial" w:cs="Arial"/>
          <w:i/>
          <w:sz w:val="20"/>
          <w:szCs w:val="20"/>
        </w:rPr>
        <w:t>Essential</w:t>
      </w:r>
      <w:r w:rsidRPr="007E61C7">
        <w:rPr>
          <w:rFonts w:ascii="Arial" w:eastAsia="Times New Roman" w:hAnsi="Arial" w:cs="Arial"/>
          <w:sz w:val="20"/>
          <w:szCs w:val="20"/>
        </w:rPr>
        <w:t xml:space="preserve"> checklist items; lightly shaded boxes represent </w:t>
      </w:r>
      <w:r w:rsidRPr="007E61C7">
        <w:rPr>
          <w:rFonts w:ascii="Arial" w:eastAsia="Times New Roman" w:hAnsi="Arial" w:cs="Arial"/>
          <w:i/>
          <w:sz w:val="20"/>
          <w:szCs w:val="20"/>
        </w:rPr>
        <w:t>Encouraged</w:t>
      </w:r>
      <w:r w:rsidRPr="007E61C7">
        <w:rPr>
          <w:rFonts w:ascii="Arial" w:eastAsia="Times New Roman" w:hAnsi="Arial" w:cs="Arial"/>
          <w:sz w:val="20"/>
          <w:szCs w:val="20"/>
        </w:rPr>
        <w:t xml:space="preserve"> checklist items</w:t>
      </w:r>
      <w:r w:rsidR="007E61C7">
        <w:rPr>
          <w:rFonts w:ascii="Arial" w:eastAsia="Times New Roman" w:hAnsi="Arial" w:cs="Arial"/>
          <w:sz w:val="20"/>
          <w:szCs w:val="20"/>
        </w:rPr>
        <w:t>.</w:t>
      </w:r>
      <w:r w:rsidRPr="007E61C7">
        <w:rPr>
          <w:rFonts w:ascii="Arial" w:eastAsia="Times New Roman" w:hAnsi="Arial" w:cs="Arial"/>
          <w:sz w:val="20"/>
          <w:szCs w:val="20"/>
        </w:rPr>
        <w:t xml:space="preserve"> We recommend using this checklist in conjunction with the </w:t>
      </w:r>
      <w:r w:rsidR="00263D16">
        <w:rPr>
          <w:rFonts w:ascii="Arial" w:eastAsia="Times New Roman" w:hAnsi="Arial" w:cs="Arial"/>
          <w:sz w:val="20"/>
          <w:szCs w:val="20"/>
        </w:rPr>
        <w:t xml:space="preserve">standardized </w:t>
      </w:r>
      <w:r w:rsidRPr="007E61C7">
        <w:rPr>
          <w:rFonts w:ascii="Arial" w:eastAsia="Times New Roman" w:hAnsi="Arial" w:cs="Arial"/>
          <w:sz w:val="20"/>
          <w:szCs w:val="20"/>
        </w:rPr>
        <w:t>CRED-</w:t>
      </w:r>
      <w:proofErr w:type="spellStart"/>
      <w:r w:rsidRPr="007E61C7">
        <w:rPr>
          <w:rFonts w:ascii="Arial" w:eastAsia="Times New Roman" w:hAnsi="Arial" w:cs="Arial"/>
          <w:sz w:val="20"/>
          <w:szCs w:val="20"/>
        </w:rPr>
        <w:t>nf</w:t>
      </w:r>
      <w:proofErr w:type="spellEnd"/>
      <w:r w:rsidRPr="007E61C7">
        <w:rPr>
          <w:rFonts w:ascii="Arial" w:eastAsia="Times New Roman" w:hAnsi="Arial" w:cs="Arial"/>
          <w:sz w:val="20"/>
          <w:szCs w:val="20"/>
        </w:rPr>
        <w:t xml:space="preserve"> </w:t>
      </w:r>
      <w:r w:rsidR="007E61C7">
        <w:rPr>
          <w:rFonts w:ascii="Arial" w:eastAsia="Times New Roman" w:hAnsi="Arial" w:cs="Arial"/>
          <w:sz w:val="20"/>
          <w:szCs w:val="20"/>
        </w:rPr>
        <w:t xml:space="preserve">online tool </w:t>
      </w:r>
      <w:r w:rsidR="007E61C7" w:rsidRPr="007E61C7">
        <w:rPr>
          <w:rFonts w:ascii="Arial" w:eastAsia="Times New Roman" w:hAnsi="Arial" w:cs="Arial"/>
          <w:sz w:val="20"/>
          <w:szCs w:val="20"/>
        </w:rPr>
        <w:t>(</w:t>
      </w:r>
      <w:hyperlink r:id="rId11" w:tgtFrame="_blank" w:history="1">
        <w:r w:rsidR="007E61C7" w:rsidRPr="007E61C7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rtfin.org/</w:t>
        </w:r>
        <w:proofErr w:type="spellStart"/>
        <w:r w:rsidR="007E61C7" w:rsidRPr="007E61C7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CREDnf</w:t>
        </w:r>
        <w:proofErr w:type="spellEnd"/>
      </w:hyperlink>
      <w:r w:rsidR="007E61C7" w:rsidRPr="007E61C7">
        <w:rPr>
          <w:rFonts w:ascii="Arial" w:eastAsia="Times New Roman" w:hAnsi="Arial" w:cs="Arial"/>
          <w:sz w:val="20"/>
          <w:szCs w:val="20"/>
        </w:rPr>
        <w:t>)</w:t>
      </w:r>
      <w:r w:rsidR="007E61C7">
        <w:rPr>
          <w:rFonts w:ascii="Arial" w:eastAsia="Times New Roman" w:hAnsi="Arial" w:cs="Arial"/>
          <w:sz w:val="20"/>
          <w:szCs w:val="20"/>
        </w:rPr>
        <w:t xml:space="preserve"> and</w:t>
      </w:r>
      <w:r w:rsidR="007E61C7" w:rsidRPr="007E61C7">
        <w:rPr>
          <w:rFonts w:ascii="Arial" w:eastAsia="Times New Roman" w:hAnsi="Arial" w:cs="Arial"/>
          <w:sz w:val="20"/>
          <w:szCs w:val="20"/>
        </w:rPr>
        <w:t xml:space="preserve"> the CRED-</w:t>
      </w:r>
      <w:proofErr w:type="spellStart"/>
      <w:r w:rsidR="007E61C7" w:rsidRPr="007E61C7">
        <w:rPr>
          <w:rFonts w:ascii="Arial" w:eastAsia="Times New Roman" w:hAnsi="Arial" w:cs="Arial"/>
          <w:sz w:val="20"/>
          <w:szCs w:val="20"/>
        </w:rPr>
        <w:t>nf</w:t>
      </w:r>
      <w:proofErr w:type="spellEnd"/>
      <w:r w:rsidR="007E61C7" w:rsidRPr="007E61C7">
        <w:rPr>
          <w:rFonts w:ascii="Arial" w:eastAsia="Times New Roman" w:hAnsi="Arial" w:cs="Arial"/>
          <w:sz w:val="20"/>
          <w:szCs w:val="20"/>
        </w:rPr>
        <w:t xml:space="preserve"> </w:t>
      </w:r>
      <w:r w:rsidRPr="007E61C7">
        <w:rPr>
          <w:rFonts w:ascii="Arial" w:eastAsia="Times New Roman" w:hAnsi="Arial" w:cs="Arial"/>
          <w:sz w:val="20"/>
          <w:szCs w:val="20"/>
        </w:rPr>
        <w:t>article, which explains the motivation behind this checklist and provides details regarding many of the checklist item</w:t>
      </w:r>
      <w:r w:rsidR="00CF6E08">
        <w:rPr>
          <w:rFonts w:ascii="Arial" w:eastAsia="Times New Roman" w:hAnsi="Arial" w:cs="Arial"/>
          <w:sz w:val="20"/>
          <w:szCs w:val="20"/>
        </w:rPr>
        <w:t>s.</w:t>
      </w:r>
    </w:p>
    <w:sectPr w:rsidR="00436C73" w:rsidRPr="00423565" w:rsidSect="00CF6E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67" w:right="567" w:bottom="567" w:left="567" w:header="283" w:footer="0" w:gutter="0"/>
      <w:cols w:space="720" w:equalWidth="0">
        <w:col w:w="10233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AC14" w14:textId="77777777" w:rsidR="00E23D8C" w:rsidRDefault="00E23D8C">
      <w:pPr>
        <w:spacing w:after="0" w:line="240" w:lineRule="auto"/>
      </w:pPr>
      <w:r>
        <w:separator/>
      </w:r>
    </w:p>
  </w:endnote>
  <w:endnote w:type="continuationSeparator" w:id="0">
    <w:p w14:paraId="456D6A66" w14:textId="77777777" w:rsidR="00E23D8C" w:rsidRDefault="00E2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06BC" w14:textId="77777777" w:rsidR="00CF6E08" w:rsidRDefault="00CF6E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EF3B" w14:textId="77777777" w:rsidR="00CF6E08" w:rsidRDefault="00CF6E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59E05" w14:textId="77777777" w:rsidR="00CF6E08" w:rsidRDefault="00CF6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804E2" w14:textId="77777777" w:rsidR="00E23D8C" w:rsidRDefault="00E23D8C">
      <w:pPr>
        <w:spacing w:after="0" w:line="240" w:lineRule="auto"/>
      </w:pPr>
      <w:r>
        <w:separator/>
      </w:r>
    </w:p>
  </w:footnote>
  <w:footnote w:type="continuationSeparator" w:id="0">
    <w:p w14:paraId="3910F80E" w14:textId="77777777" w:rsidR="00E23D8C" w:rsidRDefault="00E23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0FD14" w14:textId="77777777" w:rsidR="00CF6E08" w:rsidRDefault="00CF6E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7EF7" w14:textId="77777777" w:rsidR="00CF6E08" w:rsidRDefault="00CF6E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AB21E" w14:textId="77777777" w:rsidR="00CF6E08" w:rsidRDefault="00CF6E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C73"/>
    <w:rsid w:val="000548B5"/>
    <w:rsid w:val="000626DF"/>
    <w:rsid w:val="000A733E"/>
    <w:rsid w:val="000F4ECB"/>
    <w:rsid w:val="00263D16"/>
    <w:rsid w:val="002E19EB"/>
    <w:rsid w:val="003044E9"/>
    <w:rsid w:val="00357008"/>
    <w:rsid w:val="003A59BB"/>
    <w:rsid w:val="004125A7"/>
    <w:rsid w:val="00423565"/>
    <w:rsid w:val="0043233C"/>
    <w:rsid w:val="00436C73"/>
    <w:rsid w:val="00545141"/>
    <w:rsid w:val="00597EA7"/>
    <w:rsid w:val="005F592F"/>
    <w:rsid w:val="00603E5D"/>
    <w:rsid w:val="006147FB"/>
    <w:rsid w:val="00776E9F"/>
    <w:rsid w:val="007E61C7"/>
    <w:rsid w:val="0082664B"/>
    <w:rsid w:val="009042E4"/>
    <w:rsid w:val="0098726D"/>
    <w:rsid w:val="009C444A"/>
    <w:rsid w:val="009D199D"/>
    <w:rsid w:val="00A816C4"/>
    <w:rsid w:val="00AE5122"/>
    <w:rsid w:val="00B272BE"/>
    <w:rsid w:val="00BF0D5C"/>
    <w:rsid w:val="00C14ACD"/>
    <w:rsid w:val="00C31C19"/>
    <w:rsid w:val="00CC4F12"/>
    <w:rsid w:val="00CF6E08"/>
    <w:rsid w:val="00D102D7"/>
    <w:rsid w:val="00D747CD"/>
    <w:rsid w:val="00DA6A8D"/>
    <w:rsid w:val="00E23D8C"/>
    <w:rsid w:val="00FE5C6E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EF95D"/>
  <w15:docId w15:val="{77A19921-1CE8-42F8-9BE6-C4909BC2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E8"/>
  </w:style>
  <w:style w:type="paragraph" w:styleId="Heading1">
    <w:name w:val="heading 1"/>
    <w:basedOn w:val="Normal"/>
    <w:next w:val="Normal"/>
    <w:link w:val="Heading1Char"/>
    <w:uiPriority w:val="9"/>
    <w:qFormat/>
    <w:rsid w:val="00FC6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009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4009E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table" w:styleId="TableGrid">
    <w:name w:val="Table Grid"/>
    <w:basedOn w:val="TableNormal"/>
    <w:uiPriority w:val="39"/>
    <w:rsid w:val="0040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8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F8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764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64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6470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6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6470"/>
    <w:rPr>
      <w:b/>
      <w:bCs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62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F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734FDF"/>
    <w:rPr>
      <w:color w:val="0000FF"/>
      <w:u w:val="single"/>
    </w:rPr>
  </w:style>
  <w:style w:type="paragraph" w:styleId="Revision">
    <w:name w:val="Revision"/>
    <w:hidden/>
    <w:uiPriority w:val="99"/>
    <w:semiHidden/>
    <w:rsid w:val="00CB5BC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4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F52E5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paragraph" w:customStyle="1" w:styleId="desc">
    <w:name w:val="desc"/>
    <w:basedOn w:val="Normal"/>
    <w:rsid w:val="00F52E5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paragraph" w:customStyle="1" w:styleId="details">
    <w:name w:val="details"/>
    <w:basedOn w:val="Normal"/>
    <w:rsid w:val="00F52E5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character" w:customStyle="1" w:styleId="jrnl">
    <w:name w:val="jrnl"/>
    <w:basedOn w:val="DefaultParagraphFont"/>
    <w:rsid w:val="00F52E51"/>
  </w:style>
  <w:style w:type="paragraph" w:styleId="FootnoteText">
    <w:name w:val="footnote text"/>
    <w:basedOn w:val="Normal"/>
    <w:link w:val="FootnoteTextChar"/>
    <w:uiPriority w:val="99"/>
    <w:semiHidden/>
    <w:unhideWhenUsed/>
    <w:rsid w:val="00A24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CC4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24CC4"/>
    <w:rPr>
      <w:vertAlign w:val="superscript"/>
    </w:rPr>
  </w:style>
  <w:style w:type="character" w:styleId="Strong">
    <w:name w:val="Strong"/>
    <w:basedOn w:val="DefaultParagraphFont"/>
    <w:uiPriority w:val="22"/>
    <w:qFormat/>
    <w:rsid w:val="0007799E"/>
    <w:rPr>
      <w:b/>
      <w:bCs/>
    </w:rPr>
  </w:style>
  <w:style w:type="paragraph" w:customStyle="1" w:styleId="TableHeader">
    <w:name w:val="TableHeader"/>
    <w:basedOn w:val="Normal"/>
    <w:rsid w:val="00286486"/>
    <w:pPr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TableSubHead">
    <w:name w:val="TableSubHead"/>
    <w:basedOn w:val="TableHeader"/>
    <w:rsid w:val="00286486"/>
  </w:style>
  <w:style w:type="character" w:customStyle="1" w:styleId="current-selection">
    <w:name w:val="current-selection"/>
    <w:basedOn w:val="DefaultParagraphFont"/>
    <w:rsid w:val="0032794F"/>
  </w:style>
  <w:style w:type="paragraph" w:styleId="Header">
    <w:name w:val="header"/>
    <w:basedOn w:val="Normal"/>
    <w:link w:val="HeaderChar"/>
    <w:uiPriority w:val="99"/>
    <w:unhideWhenUsed/>
    <w:rsid w:val="004C7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63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7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634"/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8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F3"/>
    <w:rPr>
      <w:color w:val="954F72" w:themeColor="followedHyperlink"/>
      <w:u w:val="single"/>
    </w:rPr>
  </w:style>
  <w:style w:type="character" w:customStyle="1" w:styleId="il">
    <w:name w:val="il"/>
    <w:basedOn w:val="DefaultParagraphFont"/>
    <w:rsid w:val="009A1A6C"/>
  </w:style>
  <w:style w:type="character" w:customStyle="1" w:styleId="doi">
    <w:name w:val="doi"/>
    <w:basedOn w:val="DefaultParagraphFont"/>
    <w:rsid w:val="009F5BFD"/>
  </w:style>
  <w:style w:type="character" w:styleId="Emphasis">
    <w:name w:val="Emphasis"/>
    <w:basedOn w:val="DefaultParagraphFont"/>
    <w:uiPriority w:val="20"/>
    <w:qFormat/>
    <w:rsid w:val="0081046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E483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tfin.org/CREDnf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tfin.org/CREDn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pab2163/mindful_brain_projec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rtfin.org/CREDn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SGXFEP0QA4IGdqeS/KLnYoMzVg==">AMUW2mVIFvFxq6RngfPwkGjiDbMvS4yS1fFs6fMIni7fIo4OBqc+y/aNuCpOlJX3Cy3QsdXMcl9EWxnDFlMKazI3fksWEzGJi3E3miPik1sbTBiU6qmWDA3gIEUWxIrTECKesQC/+fqb2wr7x1PW5ck8/2UsxBLHvRkDshhkM8Yo3RkkSJtt/SVBYXkYnwLjkuQ/ph9zVWr9ZVIfsZaUEL8X235XAODKHGkGot4RIeKAU97RBw2DgHjqqeMx+l5cDHUoCki1CYfpN3y+DDScPJbjbeus55zDnBXygKL0qUT9+kIXykFu3PtCczDdIKwosqchDc9WpY1ZCxWW4YH1GnNQMLh3MM0ywFMpofreTqcn0KWJ8c+pRGASNwfjEwTNMZSLWmih2UyT</go:docsCustomData>
</go:gDocsCustomXmlDataStorage>
</file>

<file path=customXml/itemProps1.xml><?xml version="1.0" encoding="utf-8"?>
<ds:datastoreItem xmlns:ds="http://schemas.openxmlformats.org/officeDocument/2006/customXml" ds:itemID="{D3B1C22A-9C9A-42DC-8340-BFCC9B74A9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Thibault</dc:creator>
  <cp:lastModifiedBy>Paul Bloom</cp:lastModifiedBy>
  <cp:revision>6</cp:revision>
  <cp:lastPrinted>2019-11-13T12:07:00Z</cp:lastPrinted>
  <dcterms:created xsi:type="dcterms:W3CDTF">2020-01-27T16:41:00Z</dcterms:created>
  <dcterms:modified xsi:type="dcterms:W3CDTF">2023-07-31T20:42:00Z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http://www.zotero.org/styles/brain</vt:lpwstr>
  </property>
  <property fmtid="{D5CDD505-2E9C-101B-9397-08002B2CF9AE}" pid="9" name="Mendeley Recent Style Name 3_1">
    <vt:lpwstr>Brain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http://www.zotero.org/styles/international-journal-of-epidemiology</vt:lpwstr>
  </property>
  <property fmtid="{D5CDD505-2E9C-101B-9397-08002B2CF9AE}" pid="15" name="Mendeley Recent Style Name 6_1">
    <vt:lpwstr>International Journal of Epidemiology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e79f137c-a414-3570-ab3c-a3654738375e</vt:lpwstr>
  </property>
  <property fmtid="{D5CDD505-2E9C-101B-9397-08002B2CF9AE}" pid="24" name="Mendeley Citation Style_1">
    <vt:lpwstr>http://www.zotero.org/styles/brain</vt:lpwstr>
  </property>
</Properties>
</file>